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E637B8" w14:textId="77777777" w:rsidR="004D0443" w:rsidRDefault="004D0443">
      <w:pPr>
        <w:pStyle w:val="Ttulo1"/>
        <w:jc w:val="left"/>
      </w:pPr>
    </w:p>
    <w:p w14:paraId="1CE637B9" w14:textId="77777777" w:rsidR="004D0443" w:rsidRDefault="00DA3067">
      <w:pPr>
        <w:pStyle w:val="Ttulo1"/>
        <w:jc w:val="left"/>
        <w:rPr>
          <w:sz w:val="22"/>
          <w:szCs w:val="22"/>
        </w:rPr>
      </w:pPr>
      <w:r>
        <w:t>Bogotá D.C., 1 de enero de 2025</w:t>
      </w:r>
    </w:p>
    <w:p w14:paraId="1CE637BA" w14:textId="77777777" w:rsidR="004D0443" w:rsidRDefault="004D0443">
      <w:pPr>
        <w:rPr>
          <w:rFonts w:ascii="Times New Roman" w:eastAsia="Times New Roman" w:hAnsi="Times New Roman" w:cs="Times New Roman"/>
          <w:sz w:val="22"/>
          <w:szCs w:val="22"/>
        </w:rPr>
      </w:pPr>
    </w:p>
    <w:p w14:paraId="1CE637BB" w14:textId="77777777" w:rsidR="004D0443" w:rsidRDefault="004D0443">
      <w:pPr>
        <w:rPr>
          <w:rFonts w:ascii="Times New Roman" w:eastAsia="Times New Roman" w:hAnsi="Times New Roman" w:cs="Times New Roman"/>
          <w:sz w:val="22"/>
          <w:szCs w:val="22"/>
        </w:rPr>
      </w:pPr>
    </w:p>
    <w:p w14:paraId="1CE637BC" w14:textId="77777777" w:rsidR="004D0443" w:rsidRDefault="004D0443">
      <w:pPr>
        <w:rPr>
          <w:rFonts w:ascii="Times New Roman" w:eastAsia="Times New Roman" w:hAnsi="Times New Roman" w:cs="Times New Roman"/>
          <w:sz w:val="22"/>
          <w:szCs w:val="22"/>
        </w:rPr>
      </w:pPr>
    </w:p>
    <w:p w14:paraId="1CE637BD" w14:textId="77777777" w:rsidR="004D0443" w:rsidRDefault="00DA3067">
      <w:pPr>
        <w:rPr>
          <w:rFonts w:ascii="Times New Roman" w:eastAsia="Times New Roman" w:hAnsi="Times New Roman" w:cs="Times New Roman"/>
          <w:b/>
          <w:sz w:val="22"/>
          <w:szCs w:val="22"/>
        </w:rPr>
      </w:pPr>
      <w:r>
        <w:rPr>
          <w:rFonts w:ascii="Times New Roman" w:eastAsia="Times New Roman" w:hAnsi="Times New Roman" w:cs="Times New Roman"/>
          <w:sz w:val="22"/>
          <w:szCs w:val="22"/>
        </w:rPr>
        <w:t>Doctora:</w:t>
      </w:r>
    </w:p>
    <w:p w14:paraId="1CE637BE" w14:textId="77777777" w:rsidR="004D0443" w:rsidRDefault="00DA3067">
      <w:pPr>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rPr>
        <w:t>LUZ ANGÉLICA VIZCAÍNO SOLANO</w:t>
      </w:r>
      <w:r>
        <w:rPr>
          <w:rFonts w:ascii="Times New Roman" w:eastAsia="Times New Roman" w:hAnsi="Times New Roman" w:cs="Times New Roman"/>
          <w:b/>
          <w:sz w:val="22"/>
          <w:szCs w:val="22"/>
          <w:highlight w:val="white"/>
        </w:rPr>
        <w:t>.</w:t>
      </w:r>
    </w:p>
    <w:p w14:paraId="1CE637BF" w14:textId="77777777" w:rsidR="004D0443" w:rsidRDefault="00DA3067">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Secretaria General.</w:t>
      </w:r>
    </w:p>
    <w:p w14:paraId="1CE637C0" w14:textId="77777777" w:rsidR="004D0443" w:rsidRDefault="00DA3067">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Concejo de Bogotá D.C.</w:t>
      </w:r>
    </w:p>
    <w:p w14:paraId="1CE637C1" w14:textId="77777777" w:rsidR="004D0443" w:rsidRDefault="00DA3067">
      <w:pPr>
        <w:rPr>
          <w:rFonts w:ascii="Times New Roman" w:eastAsia="Times New Roman" w:hAnsi="Times New Roman" w:cs="Times New Roman"/>
          <w:sz w:val="22"/>
          <w:szCs w:val="22"/>
        </w:rPr>
      </w:pPr>
      <w:r>
        <w:rPr>
          <w:rFonts w:ascii="Times New Roman" w:eastAsia="Times New Roman" w:hAnsi="Times New Roman" w:cs="Times New Roman"/>
          <w:sz w:val="22"/>
          <w:szCs w:val="22"/>
        </w:rPr>
        <w:t>Ciudad.</w:t>
      </w:r>
    </w:p>
    <w:p w14:paraId="1CE637C2" w14:textId="77777777" w:rsidR="004D0443" w:rsidRDefault="004D0443">
      <w:pPr>
        <w:rPr>
          <w:rFonts w:ascii="Times New Roman" w:eastAsia="Times New Roman" w:hAnsi="Times New Roman" w:cs="Times New Roman"/>
          <w:sz w:val="22"/>
          <w:szCs w:val="22"/>
        </w:rPr>
      </w:pPr>
    </w:p>
    <w:p w14:paraId="1CE637C3" w14:textId="77777777" w:rsidR="004D0443" w:rsidRDefault="004D0443">
      <w:pPr>
        <w:rPr>
          <w:rFonts w:ascii="Times New Roman" w:eastAsia="Times New Roman" w:hAnsi="Times New Roman" w:cs="Times New Roman"/>
          <w:sz w:val="22"/>
          <w:szCs w:val="22"/>
        </w:rPr>
      </w:pPr>
    </w:p>
    <w:p w14:paraId="1CE637C4" w14:textId="77777777" w:rsidR="004D0443" w:rsidRDefault="004D0443">
      <w:pPr>
        <w:rPr>
          <w:rFonts w:ascii="Times New Roman" w:eastAsia="Times New Roman" w:hAnsi="Times New Roman" w:cs="Times New Roman"/>
          <w:sz w:val="22"/>
          <w:szCs w:val="22"/>
        </w:rPr>
      </w:pPr>
    </w:p>
    <w:p w14:paraId="1CE637C5" w14:textId="77777777" w:rsidR="004D0443" w:rsidRDefault="00DA3067">
      <w:pPr>
        <w:jc w:val="right"/>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Asunto: </w:t>
      </w:r>
      <w:r>
        <w:rPr>
          <w:rFonts w:ascii="Times New Roman" w:eastAsia="Times New Roman" w:hAnsi="Times New Roman" w:cs="Times New Roman"/>
          <w:sz w:val="22"/>
          <w:szCs w:val="22"/>
        </w:rPr>
        <w:t>Radicación Proyecto de Acuerdo.</w:t>
      </w:r>
    </w:p>
    <w:p w14:paraId="1CE637C6" w14:textId="77777777" w:rsidR="004D0443" w:rsidRDefault="004D0443">
      <w:pPr>
        <w:jc w:val="right"/>
        <w:rPr>
          <w:rFonts w:ascii="Times New Roman" w:eastAsia="Times New Roman" w:hAnsi="Times New Roman" w:cs="Times New Roman"/>
          <w:sz w:val="22"/>
          <w:szCs w:val="22"/>
        </w:rPr>
      </w:pPr>
    </w:p>
    <w:p w14:paraId="1CE637C7" w14:textId="77777777" w:rsidR="004D0443" w:rsidRDefault="004D0443">
      <w:pPr>
        <w:rPr>
          <w:rFonts w:ascii="Times New Roman" w:eastAsia="Times New Roman" w:hAnsi="Times New Roman" w:cs="Times New Roman"/>
          <w:sz w:val="22"/>
          <w:szCs w:val="22"/>
        </w:rPr>
      </w:pPr>
    </w:p>
    <w:p w14:paraId="1CE637C8" w14:textId="77777777" w:rsidR="004D0443" w:rsidRDefault="004D0443">
      <w:pPr>
        <w:rPr>
          <w:rFonts w:ascii="Times New Roman" w:eastAsia="Times New Roman" w:hAnsi="Times New Roman" w:cs="Times New Roman"/>
          <w:sz w:val="22"/>
          <w:szCs w:val="22"/>
        </w:rPr>
      </w:pPr>
    </w:p>
    <w:p w14:paraId="1CE637C9" w14:textId="77777777" w:rsidR="004D0443" w:rsidRDefault="00DA3067">
      <w:pPr>
        <w:rPr>
          <w:rFonts w:ascii="Times New Roman" w:eastAsia="Times New Roman" w:hAnsi="Times New Roman" w:cs="Times New Roman"/>
          <w:sz w:val="22"/>
          <w:szCs w:val="22"/>
        </w:rPr>
      </w:pPr>
      <w:r>
        <w:rPr>
          <w:rFonts w:ascii="Times New Roman" w:eastAsia="Times New Roman" w:hAnsi="Times New Roman" w:cs="Times New Roman"/>
          <w:sz w:val="22"/>
          <w:szCs w:val="22"/>
        </w:rPr>
        <w:t>Apreciada Doctora:</w:t>
      </w:r>
    </w:p>
    <w:p w14:paraId="1CE637CA" w14:textId="77777777" w:rsidR="004D0443" w:rsidRDefault="004D0443">
      <w:pPr>
        <w:rPr>
          <w:rFonts w:ascii="Times New Roman" w:eastAsia="Times New Roman" w:hAnsi="Times New Roman" w:cs="Times New Roman"/>
          <w:sz w:val="22"/>
          <w:szCs w:val="22"/>
        </w:rPr>
      </w:pPr>
    </w:p>
    <w:p w14:paraId="1CE637CB" w14:textId="77777777" w:rsidR="004D0443" w:rsidRDefault="004D0443">
      <w:pPr>
        <w:jc w:val="both"/>
        <w:rPr>
          <w:rFonts w:ascii="Times New Roman" w:eastAsia="Times New Roman" w:hAnsi="Times New Roman" w:cs="Times New Roman"/>
          <w:sz w:val="22"/>
          <w:szCs w:val="22"/>
        </w:rPr>
      </w:pPr>
    </w:p>
    <w:p w14:paraId="1CE637CC" w14:textId="77777777" w:rsidR="004D0443" w:rsidRDefault="00DA3067">
      <w:pPr>
        <w:spacing w:line="276" w:lineRule="auto"/>
        <w:jc w:val="both"/>
        <w:rPr>
          <w:rFonts w:ascii="Times New Roman" w:eastAsia="Times New Roman" w:hAnsi="Times New Roman" w:cs="Times New Roman"/>
          <w:i/>
          <w:color w:val="FF0000"/>
          <w:sz w:val="22"/>
          <w:szCs w:val="22"/>
        </w:rPr>
      </w:pPr>
      <w:r>
        <w:rPr>
          <w:rFonts w:ascii="Times New Roman" w:eastAsia="Times New Roman" w:hAnsi="Times New Roman" w:cs="Times New Roman"/>
          <w:sz w:val="22"/>
          <w:szCs w:val="22"/>
        </w:rPr>
        <w:t xml:space="preserve">Por medio de la presente  y de conformidad con lo dispuesto en los artículos 65, 66 y 67 del Acuerdo 741 de 2019, modificado por el Acuerdo 837 de 2022, me permito radicar ante su despacho el Proyecto de Acuerdo </w:t>
      </w:r>
      <w:r>
        <w:rPr>
          <w:rFonts w:ascii="Times New Roman" w:eastAsia="Times New Roman" w:hAnsi="Times New Roman" w:cs="Times New Roman"/>
          <w:b/>
          <w:i/>
          <w:sz w:val="22"/>
          <w:szCs w:val="22"/>
        </w:rPr>
        <w:t>"POR MEDIO DEL CUAL SE FOMENTAN LAS STARTUPS EN EL DISTRITO CAPITAL Y SE DICTAN OTRAS DISPOSICIONES”.</w:t>
      </w:r>
    </w:p>
    <w:p w14:paraId="1CE637CD" w14:textId="77777777" w:rsidR="004D0443" w:rsidRDefault="004D0443">
      <w:pPr>
        <w:jc w:val="both"/>
        <w:rPr>
          <w:rFonts w:ascii="Times New Roman" w:eastAsia="Times New Roman" w:hAnsi="Times New Roman" w:cs="Times New Roman"/>
          <w:sz w:val="22"/>
          <w:szCs w:val="22"/>
        </w:rPr>
      </w:pPr>
    </w:p>
    <w:p w14:paraId="1CE637CE" w14:textId="77777777" w:rsidR="004D0443" w:rsidRDefault="004D0443">
      <w:pPr>
        <w:jc w:val="both"/>
        <w:rPr>
          <w:rFonts w:ascii="Times New Roman" w:eastAsia="Times New Roman" w:hAnsi="Times New Roman" w:cs="Times New Roman"/>
          <w:sz w:val="22"/>
          <w:szCs w:val="22"/>
        </w:rPr>
      </w:pPr>
    </w:p>
    <w:p w14:paraId="1CE637CF"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Muchas gracias por su atención.</w:t>
      </w:r>
    </w:p>
    <w:p w14:paraId="1CE637D0" w14:textId="77777777" w:rsidR="004D0443" w:rsidRDefault="004D0443">
      <w:pPr>
        <w:jc w:val="both"/>
        <w:rPr>
          <w:rFonts w:ascii="Times New Roman" w:eastAsia="Times New Roman" w:hAnsi="Times New Roman" w:cs="Times New Roman"/>
          <w:sz w:val="22"/>
          <w:szCs w:val="22"/>
        </w:rPr>
      </w:pPr>
    </w:p>
    <w:p w14:paraId="1CE637D1" w14:textId="77777777" w:rsidR="004D0443" w:rsidRDefault="004D0443">
      <w:pPr>
        <w:jc w:val="both"/>
        <w:rPr>
          <w:rFonts w:ascii="Times New Roman" w:eastAsia="Times New Roman" w:hAnsi="Times New Roman" w:cs="Times New Roman"/>
          <w:sz w:val="22"/>
          <w:szCs w:val="22"/>
        </w:rPr>
      </w:pPr>
    </w:p>
    <w:p w14:paraId="1CE637D2" w14:textId="77777777" w:rsidR="004D0443" w:rsidRDefault="004D0443">
      <w:pPr>
        <w:jc w:val="both"/>
        <w:rPr>
          <w:rFonts w:ascii="Times New Roman" w:eastAsia="Times New Roman" w:hAnsi="Times New Roman" w:cs="Times New Roman"/>
          <w:sz w:val="22"/>
          <w:szCs w:val="22"/>
        </w:rPr>
      </w:pPr>
    </w:p>
    <w:p w14:paraId="1CE637D4"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p>
    <w:p w14:paraId="1CE637D5" w14:textId="2BC9F78E" w:rsidR="004D0443" w:rsidRDefault="004D0443">
      <w:pPr>
        <w:jc w:val="both"/>
        <w:rPr>
          <w:rFonts w:ascii="Times New Roman" w:eastAsia="Times New Roman" w:hAnsi="Times New Roman" w:cs="Times New Roman"/>
          <w:sz w:val="22"/>
          <w:szCs w:val="22"/>
        </w:rPr>
      </w:pPr>
    </w:p>
    <w:p w14:paraId="1CE637D6" w14:textId="77777777" w:rsidR="004D0443" w:rsidRDefault="004D0443">
      <w:pPr>
        <w:jc w:val="both"/>
        <w:rPr>
          <w:rFonts w:ascii="Times New Roman" w:eastAsia="Times New Roman" w:hAnsi="Times New Roman" w:cs="Times New Roman"/>
          <w:sz w:val="22"/>
          <w:szCs w:val="22"/>
        </w:rPr>
      </w:pPr>
    </w:p>
    <w:p w14:paraId="1CE637D7" w14:textId="77777777" w:rsidR="004D0443" w:rsidRDefault="004D0443">
      <w:pPr>
        <w:jc w:val="both"/>
        <w:rPr>
          <w:rFonts w:ascii="Times New Roman" w:eastAsia="Times New Roman" w:hAnsi="Times New Roman" w:cs="Times New Roman"/>
          <w:sz w:val="22"/>
          <w:szCs w:val="22"/>
        </w:rPr>
      </w:pPr>
    </w:p>
    <w:p w14:paraId="1CE637D8" w14:textId="77777777" w:rsidR="004D0443" w:rsidRDefault="004D0443">
      <w:pPr>
        <w:jc w:val="both"/>
        <w:rPr>
          <w:rFonts w:ascii="Times New Roman" w:eastAsia="Times New Roman" w:hAnsi="Times New Roman" w:cs="Times New Roman"/>
          <w:sz w:val="22"/>
          <w:szCs w:val="22"/>
        </w:rPr>
      </w:pPr>
    </w:p>
    <w:p w14:paraId="1CE637D9" w14:textId="77777777" w:rsidR="004D0443" w:rsidRDefault="004D0443">
      <w:pPr>
        <w:jc w:val="both"/>
        <w:rPr>
          <w:rFonts w:ascii="Times New Roman" w:eastAsia="Times New Roman" w:hAnsi="Times New Roman" w:cs="Times New Roman"/>
          <w:sz w:val="22"/>
          <w:szCs w:val="22"/>
        </w:rPr>
      </w:pPr>
    </w:p>
    <w:p w14:paraId="1CE637DA" w14:textId="77777777" w:rsidR="004D0443" w:rsidRDefault="004D0443">
      <w:pPr>
        <w:jc w:val="both"/>
        <w:rPr>
          <w:rFonts w:ascii="Times New Roman" w:eastAsia="Times New Roman" w:hAnsi="Times New Roman" w:cs="Times New Roman"/>
          <w:sz w:val="22"/>
          <w:szCs w:val="22"/>
        </w:rPr>
      </w:pPr>
    </w:p>
    <w:p w14:paraId="1CE637DB" w14:textId="77777777" w:rsidR="004D0443" w:rsidRDefault="00DA3067">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JULIÁN RODRÍGUEZ SASTOQUE</w:t>
      </w:r>
    </w:p>
    <w:p w14:paraId="1CE637DC"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CE637DD"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Partido Alianza Verde.</w:t>
      </w:r>
    </w:p>
    <w:p w14:paraId="1CE637DE" w14:textId="77777777" w:rsidR="004D0443" w:rsidRDefault="004D0443">
      <w:pPr>
        <w:jc w:val="both"/>
        <w:rPr>
          <w:rFonts w:ascii="Times New Roman" w:eastAsia="Times New Roman" w:hAnsi="Times New Roman" w:cs="Times New Roman"/>
          <w:sz w:val="22"/>
          <w:szCs w:val="22"/>
        </w:rPr>
      </w:pPr>
    </w:p>
    <w:p w14:paraId="1CE637DF" w14:textId="77777777" w:rsidR="004D0443" w:rsidRDefault="004D0443">
      <w:pPr>
        <w:jc w:val="both"/>
        <w:rPr>
          <w:rFonts w:ascii="Times New Roman" w:eastAsia="Times New Roman" w:hAnsi="Times New Roman" w:cs="Times New Roman"/>
          <w:sz w:val="22"/>
          <w:szCs w:val="22"/>
        </w:rPr>
      </w:pPr>
    </w:p>
    <w:p w14:paraId="1CE637E0" w14:textId="77777777" w:rsidR="004D0443" w:rsidRDefault="004D0443">
      <w:pPr>
        <w:jc w:val="both"/>
        <w:rPr>
          <w:rFonts w:ascii="Times New Roman" w:eastAsia="Times New Roman" w:hAnsi="Times New Roman" w:cs="Times New Roman"/>
          <w:sz w:val="22"/>
          <w:szCs w:val="22"/>
        </w:rPr>
      </w:pPr>
    </w:p>
    <w:p w14:paraId="1CE637E1" w14:textId="77777777" w:rsidR="004D0443" w:rsidRDefault="004D0443">
      <w:pPr>
        <w:jc w:val="both"/>
        <w:rPr>
          <w:rFonts w:ascii="Times New Roman" w:eastAsia="Times New Roman" w:hAnsi="Times New Roman" w:cs="Times New Roman"/>
          <w:sz w:val="22"/>
          <w:szCs w:val="22"/>
        </w:rPr>
      </w:pPr>
    </w:p>
    <w:p w14:paraId="1CE637E2" w14:textId="40EF8722" w:rsidR="004D0443" w:rsidRDefault="00DA3067">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PROYECTO DE ACUERDO No. </w:t>
      </w:r>
      <w:r w:rsidR="005D1EBD">
        <w:rPr>
          <w:rFonts w:ascii="Times New Roman" w:eastAsia="Times New Roman" w:hAnsi="Times New Roman" w:cs="Times New Roman"/>
          <w:b/>
          <w:sz w:val="22"/>
          <w:szCs w:val="22"/>
        </w:rPr>
        <w:t>3</w:t>
      </w:r>
      <w:r>
        <w:rPr>
          <w:rFonts w:ascii="Times New Roman" w:eastAsia="Times New Roman" w:hAnsi="Times New Roman" w:cs="Times New Roman"/>
          <w:b/>
          <w:sz w:val="22"/>
          <w:szCs w:val="22"/>
        </w:rPr>
        <w:t>2</w:t>
      </w:r>
      <w:r w:rsidR="005D1EBD">
        <w:rPr>
          <w:rFonts w:ascii="Times New Roman" w:eastAsia="Times New Roman" w:hAnsi="Times New Roman" w:cs="Times New Roman"/>
          <w:b/>
          <w:sz w:val="22"/>
          <w:szCs w:val="22"/>
        </w:rPr>
        <w:t xml:space="preserve">6 </w:t>
      </w:r>
      <w:r>
        <w:rPr>
          <w:rFonts w:ascii="Times New Roman" w:eastAsia="Times New Roman" w:hAnsi="Times New Roman" w:cs="Times New Roman"/>
          <w:b/>
          <w:sz w:val="22"/>
          <w:szCs w:val="22"/>
        </w:rPr>
        <w:t xml:space="preserve">DE </w:t>
      </w:r>
      <w:bookmarkStart w:id="0" w:name="_GoBack"/>
      <w:bookmarkEnd w:id="0"/>
      <w:r>
        <w:rPr>
          <w:rFonts w:ascii="Times New Roman" w:eastAsia="Times New Roman" w:hAnsi="Times New Roman" w:cs="Times New Roman"/>
          <w:b/>
          <w:sz w:val="22"/>
          <w:szCs w:val="22"/>
        </w:rPr>
        <w:t>2025</w:t>
      </w:r>
    </w:p>
    <w:p w14:paraId="1CE637E3" w14:textId="77777777" w:rsidR="004D0443" w:rsidRDefault="004D0443">
      <w:pPr>
        <w:jc w:val="center"/>
        <w:rPr>
          <w:rFonts w:ascii="Times New Roman" w:eastAsia="Times New Roman" w:hAnsi="Times New Roman" w:cs="Times New Roman"/>
          <w:b/>
          <w:sz w:val="22"/>
          <w:szCs w:val="22"/>
        </w:rPr>
      </w:pPr>
    </w:p>
    <w:p w14:paraId="1CE637E4" w14:textId="77777777" w:rsidR="004D0443" w:rsidRDefault="00DA3067">
      <w:pPr>
        <w:spacing w:line="276" w:lineRule="auto"/>
        <w:jc w:val="center"/>
        <w:rPr>
          <w:rFonts w:ascii="Times New Roman" w:eastAsia="Times New Roman" w:hAnsi="Times New Roman" w:cs="Times New Roman"/>
          <w:b/>
          <w:i/>
          <w:sz w:val="22"/>
          <w:szCs w:val="22"/>
        </w:rPr>
      </w:pPr>
      <w:r>
        <w:rPr>
          <w:rFonts w:ascii="Times New Roman" w:eastAsia="Times New Roman" w:hAnsi="Times New Roman" w:cs="Times New Roman"/>
          <w:b/>
          <w:i/>
          <w:sz w:val="22"/>
          <w:szCs w:val="22"/>
        </w:rPr>
        <w:t>"POR MEDIO DEL CUAL SE FOMENTAN LAS STARTUPS EN EL DISTRITO CAPITAL Y SE DICTAN OTRAS DISPOSICIONES”</w:t>
      </w:r>
    </w:p>
    <w:p w14:paraId="1CE637E5" w14:textId="77777777" w:rsidR="004D0443" w:rsidRDefault="004D0443">
      <w:pPr>
        <w:spacing w:line="276" w:lineRule="auto"/>
        <w:jc w:val="center"/>
        <w:rPr>
          <w:rFonts w:ascii="Times New Roman" w:eastAsia="Times New Roman" w:hAnsi="Times New Roman" w:cs="Times New Roman"/>
          <w:b/>
          <w:i/>
          <w:sz w:val="22"/>
          <w:szCs w:val="22"/>
        </w:rPr>
      </w:pPr>
    </w:p>
    <w:p w14:paraId="1CE637E6" w14:textId="77777777" w:rsidR="004D0443" w:rsidRDefault="004D0443">
      <w:pPr>
        <w:rPr>
          <w:rFonts w:ascii="Times New Roman" w:eastAsia="Times New Roman" w:hAnsi="Times New Roman" w:cs="Times New Roman"/>
          <w:b/>
          <w:sz w:val="22"/>
          <w:szCs w:val="22"/>
        </w:rPr>
      </w:pPr>
    </w:p>
    <w:p w14:paraId="1CE637E7"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 OBJETO DEL PROYECTO</w:t>
      </w:r>
    </w:p>
    <w:p w14:paraId="1CE637E8"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presente Acuerdo tiene por objeto establecer medidas que fomenten, apoyen y fortalezcan la incubación, crecimiento, impulso y consolidación de startups en el Distrito Capital, con el fin de impulsar la innovación, el crecimiento económico, la transformación digital, la competitividad, la productividad, la generación de empleo formal, la sostenibilidad y la internacionalización de la ciudad fomentando la articulación entre la sociedad civil, la academia, el sector privado y el sector público, así mismo, para seguir consolidando a Bogotá como el epicentro de los emprendimientos emergentes en el país y la región.</w:t>
      </w:r>
    </w:p>
    <w:p w14:paraId="1CE637E9" w14:textId="77777777" w:rsidR="004D0443" w:rsidRDefault="00DA3067">
      <w:pPr>
        <w:spacing w:after="160" w:line="276" w:lineRule="auto"/>
        <w:jc w:val="center"/>
        <w:rPr>
          <w:rFonts w:ascii="Times New Roman" w:eastAsia="Times New Roman" w:hAnsi="Times New Roman" w:cs="Times New Roman"/>
          <w:b/>
          <w:color w:val="FF0000"/>
          <w:sz w:val="22"/>
          <w:szCs w:val="22"/>
        </w:rPr>
      </w:pPr>
      <w:r>
        <w:rPr>
          <w:rFonts w:ascii="Times New Roman" w:eastAsia="Times New Roman" w:hAnsi="Times New Roman" w:cs="Times New Roman"/>
          <w:b/>
          <w:sz w:val="22"/>
          <w:szCs w:val="22"/>
        </w:rPr>
        <w:t xml:space="preserve">2. EXPOSICIÓN DE MOTIVOS </w:t>
      </w:r>
    </w:p>
    <w:p w14:paraId="1CE637EA"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2.1. ¿Qué es una Startup?: </w:t>
      </w:r>
    </w:p>
    <w:p w14:paraId="1CE637EB" w14:textId="77777777" w:rsidR="004D0443" w:rsidRDefault="004D0443">
      <w:pPr>
        <w:spacing w:line="276" w:lineRule="auto"/>
        <w:rPr>
          <w:rFonts w:ascii="Times New Roman" w:eastAsia="Times New Roman" w:hAnsi="Times New Roman" w:cs="Times New Roman"/>
          <w:sz w:val="22"/>
          <w:szCs w:val="22"/>
        </w:rPr>
      </w:pPr>
    </w:p>
    <w:p w14:paraId="1CE637E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Una startup es una empresa emergente, generalmente de pequeño o mediano tamaño, que se caracteriza por estar orientada hacia el desarrollo de ideas innovadoras, normalmente en sectores tecnológicos, con el objetivo de encontrar un modelo de negocio escalable y repetible. Estas empresas, a diferencia de las tradicionales, están marcadas por su alta capacidad de adaptación y respuesta rápida ante cambios en el mercado, lo que les permite competir en entornos dinámicos y con alta incertidumbre (Escartín </w:t>
      </w:r>
      <w:r>
        <w:rPr>
          <w:rFonts w:ascii="Times New Roman" w:eastAsia="Times New Roman" w:hAnsi="Times New Roman" w:cs="Times New Roman"/>
          <w:i/>
          <w:sz w:val="22"/>
          <w:szCs w:val="22"/>
        </w:rPr>
        <w:t>et al.</w:t>
      </w:r>
      <w:r>
        <w:rPr>
          <w:rFonts w:ascii="Times New Roman" w:eastAsia="Times New Roman" w:hAnsi="Times New Roman" w:cs="Times New Roman"/>
          <w:sz w:val="22"/>
          <w:szCs w:val="22"/>
        </w:rPr>
        <w:t>, 2020)</w:t>
      </w:r>
      <w:r>
        <w:rPr>
          <w:rFonts w:ascii="Times New Roman" w:eastAsia="Times New Roman" w:hAnsi="Times New Roman" w:cs="Times New Roman"/>
          <w:sz w:val="22"/>
          <w:szCs w:val="22"/>
          <w:vertAlign w:val="superscript"/>
        </w:rPr>
        <w:footnoteReference w:id="1"/>
      </w:r>
      <w:r>
        <w:rPr>
          <w:rFonts w:ascii="Times New Roman" w:eastAsia="Times New Roman" w:hAnsi="Times New Roman" w:cs="Times New Roman"/>
          <w:sz w:val="22"/>
          <w:szCs w:val="22"/>
        </w:rPr>
        <w:t xml:space="preserve">. Además, uno de los elementos claves de una startup </w:t>
      </w:r>
      <w:r>
        <w:rPr>
          <w:rFonts w:ascii="Times New Roman" w:eastAsia="Times New Roman" w:hAnsi="Times New Roman" w:cs="Times New Roman"/>
          <w:sz w:val="22"/>
          <w:szCs w:val="22"/>
        </w:rPr>
        <w:lastRenderedPageBreak/>
        <w:t>es su orientación hacia la innovación y la tecnología, utilizando estas herramientas para resolver problemas cotidianos de manera creativa y disruptiva (Fazio, 2019)</w:t>
      </w:r>
      <w:r>
        <w:rPr>
          <w:rFonts w:ascii="Times New Roman" w:eastAsia="Times New Roman" w:hAnsi="Times New Roman" w:cs="Times New Roman"/>
          <w:sz w:val="22"/>
          <w:szCs w:val="22"/>
          <w:vertAlign w:val="superscript"/>
        </w:rPr>
        <w:footnoteReference w:id="2"/>
      </w:r>
      <w:r>
        <w:rPr>
          <w:rFonts w:ascii="Times New Roman" w:eastAsia="Times New Roman" w:hAnsi="Times New Roman" w:cs="Times New Roman"/>
          <w:sz w:val="22"/>
          <w:szCs w:val="22"/>
        </w:rPr>
        <w:t>.</w:t>
      </w:r>
    </w:p>
    <w:p w14:paraId="1CE637E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financiamiento de las startups suele ser uno de los aspectos más críticos en su ciclo de vida. En las primeras etapas, recurren a fuentes de financiamiento como el capital semilla o aportaciones de familiares y amigos, conocidas como "FFF" (friends, family and fools), mientras que en fases más avanzadas optan por rondas de financiación con capital de riesgo o business angels (Escartín et al., 2020; Centro de Documentación Europea y Europe Direct de la Comunidad de Madrid, 2016)</w:t>
      </w:r>
      <w:r>
        <w:rPr>
          <w:rFonts w:ascii="Times New Roman" w:eastAsia="Times New Roman" w:hAnsi="Times New Roman" w:cs="Times New Roman"/>
          <w:sz w:val="22"/>
          <w:szCs w:val="22"/>
          <w:vertAlign w:val="superscript"/>
        </w:rPr>
        <w:footnoteReference w:id="3"/>
      </w:r>
      <w:r>
        <w:rPr>
          <w:rFonts w:ascii="Times New Roman" w:eastAsia="Times New Roman" w:hAnsi="Times New Roman" w:cs="Times New Roman"/>
          <w:sz w:val="22"/>
          <w:szCs w:val="22"/>
        </w:rPr>
        <w:t>. De esta manera, estas empresas consiguen el impulso económico necesario para crecer rápidamente y escalar su modelo de negocio.</w:t>
      </w:r>
    </w:p>
    <w:p w14:paraId="1CE637EE"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Las startups, además de su flexibilidad y capacidad de crecimiento rápido, suelen estar enfocadas en mercados de nicho con alto potencial. Estas empresas suelen iniciar su actividad en lo que se conoce como el "valle de la muerte", una fase donde la falta de ingresos y la alta incertidumbre ponen a prueba su viabilidad antes de lograr un modelo de negocio sólido (Escartín et al., 2020)</w:t>
      </w:r>
      <w:r>
        <w:rPr>
          <w:rFonts w:ascii="Times New Roman" w:eastAsia="Times New Roman" w:hAnsi="Times New Roman" w:cs="Times New Roman"/>
          <w:sz w:val="22"/>
          <w:szCs w:val="22"/>
          <w:vertAlign w:val="superscript"/>
        </w:rPr>
        <w:footnoteReference w:id="4"/>
      </w:r>
      <w:r>
        <w:rPr>
          <w:rFonts w:ascii="Times New Roman" w:eastAsia="Times New Roman" w:hAnsi="Times New Roman" w:cs="Times New Roman"/>
          <w:sz w:val="22"/>
          <w:szCs w:val="22"/>
        </w:rPr>
        <w:t>.</w:t>
      </w:r>
    </w:p>
    <w:p w14:paraId="1CE637EF"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2.2. Impacto de las startups a nivel global: </w:t>
      </w:r>
    </w:p>
    <w:p w14:paraId="1CE637F0" w14:textId="77777777" w:rsidR="004D0443" w:rsidRDefault="004D0443">
      <w:pPr>
        <w:spacing w:line="276" w:lineRule="auto"/>
        <w:rPr>
          <w:rFonts w:ascii="Times New Roman" w:eastAsia="Times New Roman" w:hAnsi="Times New Roman" w:cs="Times New Roman"/>
          <w:b/>
          <w:sz w:val="22"/>
          <w:szCs w:val="22"/>
        </w:rPr>
      </w:pPr>
    </w:p>
    <w:p w14:paraId="1CE637F1"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Las startups han emergido como actores clave en la economía global del siglo XXI, dejando atrás la percepción de ser empresas con alta incertidumbre y riesgo. Hoy en día, estas empresas jóvenes se distinguen por su capacidad para desarrollar productos o servicios innovadores que buscan llenar vacíos en el mercado o crear completamente nuevas categorías de bienes y servicios. Este proceso de innovación disruptiva ha permitido que las startups desafíen y transformen sectores enteros, </w:t>
      </w:r>
      <w:r>
        <w:rPr>
          <w:rFonts w:ascii="Times New Roman" w:eastAsia="Times New Roman" w:hAnsi="Times New Roman" w:cs="Times New Roman"/>
          <w:sz w:val="22"/>
          <w:szCs w:val="22"/>
        </w:rPr>
        <w:lastRenderedPageBreak/>
        <w:t>cimentando su papel en el crecimiento económico global (Solís Tepexpa &amp; Torres Castañeda, 2022, p. 45)</w:t>
      </w:r>
      <w:r>
        <w:rPr>
          <w:rFonts w:ascii="Times New Roman" w:eastAsia="Times New Roman" w:hAnsi="Times New Roman" w:cs="Times New Roman"/>
          <w:sz w:val="22"/>
          <w:szCs w:val="22"/>
          <w:vertAlign w:val="superscript"/>
        </w:rPr>
        <w:footnoteReference w:id="5"/>
      </w:r>
      <w:r>
        <w:rPr>
          <w:rFonts w:ascii="Times New Roman" w:eastAsia="Times New Roman" w:hAnsi="Times New Roman" w:cs="Times New Roman"/>
          <w:sz w:val="22"/>
          <w:szCs w:val="22"/>
        </w:rPr>
        <w:t>.</w:t>
      </w:r>
    </w:p>
    <w:p w14:paraId="1CE637F2" w14:textId="77777777" w:rsidR="004D0443" w:rsidRDefault="004D0443">
      <w:pPr>
        <w:spacing w:line="276" w:lineRule="auto"/>
        <w:jc w:val="both"/>
        <w:rPr>
          <w:rFonts w:ascii="Times New Roman" w:eastAsia="Times New Roman" w:hAnsi="Times New Roman" w:cs="Times New Roman"/>
          <w:sz w:val="22"/>
          <w:szCs w:val="22"/>
        </w:rPr>
      </w:pPr>
    </w:p>
    <w:p w14:paraId="1CE637F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nivel global, las startups han demostrado ser un componente esencial en los ecosistemas de innovación, especialmente en sectores de alta tecnología. Se estima que alrededor del 35% de las startups a nivel mundial están concentradas en sectores tecnológicos, destacándose la industria Fintech y las ciencias de la vida y salud, que juntas representan aproximadamente el 14% de la actividad de estas empresas. Esta participación significativa resalta el papel crucial de las startups en la creación de productos, servicios y modelos de negocio innovadores que impulsan la economía global (Solís Tepexpa &amp; Torres Castañeda, 2022, pp. 52-53)</w:t>
      </w:r>
      <w:r>
        <w:rPr>
          <w:rFonts w:ascii="Times New Roman" w:eastAsia="Times New Roman" w:hAnsi="Times New Roman" w:cs="Times New Roman"/>
          <w:sz w:val="22"/>
          <w:szCs w:val="22"/>
          <w:vertAlign w:val="superscript"/>
        </w:rPr>
        <w:footnoteReference w:id="6"/>
      </w:r>
      <w:r>
        <w:rPr>
          <w:rFonts w:ascii="Times New Roman" w:eastAsia="Times New Roman" w:hAnsi="Times New Roman" w:cs="Times New Roman"/>
          <w:sz w:val="22"/>
          <w:szCs w:val="22"/>
        </w:rPr>
        <w:t>.</w:t>
      </w:r>
    </w:p>
    <w:p w14:paraId="1CE637F4"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9F9" wp14:editId="1CE639FA">
            <wp:extent cx="3963488" cy="3176173"/>
            <wp:effectExtent l="0" t="0" r="0" b="0"/>
            <wp:docPr id="13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3963488" cy="3176173"/>
                    </a:xfrm>
                    <a:prstGeom prst="rect">
                      <a:avLst/>
                    </a:prstGeom>
                    <a:ln/>
                  </pic:spPr>
                </pic:pic>
              </a:graphicData>
            </a:graphic>
          </wp:inline>
        </w:drawing>
      </w:r>
      <w:r>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br/>
      </w:r>
      <w:r>
        <w:rPr>
          <w:rFonts w:ascii="Times New Roman" w:eastAsia="Times New Roman" w:hAnsi="Times New Roman" w:cs="Times New Roman"/>
          <w:sz w:val="20"/>
          <w:szCs w:val="20"/>
        </w:rPr>
        <w:t xml:space="preserve">Imagen 1: Las startups mejor valoradas en el mundo en 2023. </w:t>
      </w:r>
      <w:r>
        <w:rPr>
          <w:rFonts w:ascii="Times New Roman" w:eastAsia="Times New Roman" w:hAnsi="Times New Roman" w:cs="Times New Roman"/>
          <w:sz w:val="20"/>
          <w:szCs w:val="20"/>
        </w:rPr>
        <w:br/>
        <w:t>Fuente: Statitsta, 2023</w:t>
      </w:r>
      <w:r>
        <w:rPr>
          <w:rFonts w:ascii="Times New Roman" w:eastAsia="Times New Roman" w:hAnsi="Times New Roman" w:cs="Times New Roman"/>
          <w:sz w:val="20"/>
          <w:szCs w:val="20"/>
          <w:vertAlign w:val="superscript"/>
        </w:rPr>
        <w:footnoteReference w:id="7"/>
      </w:r>
      <w:r>
        <w:rPr>
          <w:rFonts w:ascii="Times New Roman" w:eastAsia="Times New Roman" w:hAnsi="Times New Roman" w:cs="Times New Roman"/>
          <w:sz w:val="20"/>
          <w:szCs w:val="20"/>
        </w:rPr>
        <w:t xml:space="preserve"> </w:t>
      </w:r>
    </w:p>
    <w:p w14:paraId="1CE637F5" w14:textId="77777777" w:rsidR="004D0443" w:rsidRDefault="004D0443">
      <w:pPr>
        <w:spacing w:line="276" w:lineRule="auto"/>
        <w:jc w:val="both"/>
        <w:rPr>
          <w:rFonts w:ascii="Times New Roman" w:eastAsia="Times New Roman" w:hAnsi="Times New Roman" w:cs="Times New Roman"/>
          <w:sz w:val="22"/>
          <w:szCs w:val="22"/>
        </w:rPr>
      </w:pPr>
    </w:p>
    <w:p w14:paraId="1CE637F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Buchholz (2023)</w:t>
      </w:r>
      <w:r>
        <w:rPr>
          <w:rFonts w:ascii="Times New Roman" w:eastAsia="Times New Roman" w:hAnsi="Times New Roman" w:cs="Times New Roman"/>
          <w:sz w:val="22"/>
          <w:szCs w:val="22"/>
          <w:vertAlign w:val="superscript"/>
        </w:rPr>
        <w:footnoteReference w:id="8"/>
      </w:r>
      <w:r>
        <w:rPr>
          <w:rFonts w:ascii="Times New Roman" w:eastAsia="Times New Roman" w:hAnsi="Times New Roman" w:cs="Times New Roman"/>
          <w:sz w:val="22"/>
          <w:szCs w:val="22"/>
        </w:rPr>
        <w:t xml:space="preserve"> La empresa china de IA y medios de comunicación ByteDance es la startup más valorada del mundo.  Es la empresa matriz de TikTok  que está valorada en 225 mil millones de dólares. ByteDance también dirige la plataforma de contenidos Toutiao en China, que utiliza el aprendizaje automático para adaptar un suministro de noticias para cada espectador individual a partir de fuentes de medios tradicionales y nuevas.</w:t>
      </w:r>
    </w:p>
    <w:p w14:paraId="1CE637F7" w14:textId="77777777" w:rsidR="004D0443" w:rsidRDefault="004D0443">
      <w:pPr>
        <w:spacing w:line="276" w:lineRule="auto"/>
        <w:jc w:val="both"/>
        <w:rPr>
          <w:rFonts w:ascii="Times New Roman" w:eastAsia="Times New Roman" w:hAnsi="Times New Roman" w:cs="Times New Roman"/>
          <w:sz w:val="22"/>
          <w:szCs w:val="22"/>
        </w:rPr>
      </w:pPr>
    </w:p>
    <w:p w14:paraId="1CE637F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ByteDance es seguida por SpaceX de Estados Unidos con 150 mil millones. Shein, una empresa china de ropa, ocupa el tercer lugar con 66 mil millones, mientras que las fintech Stripe (EE.UU.) y Revolut (Reino Unido) están valoradas en 50 y 33 mil millones respectivamente. Databricks (EE.UU.), una compañía de software, tiene una valoración de 43 mil millones, y Epic Games (EE.UU.) del sector de entretenimiento está valorada en 31.5 mil millones. Finalmente, Fanatics (EE.UU.), una empresa de ropa, cierra la lista con 31 mil millones de dólares.</w:t>
      </w:r>
    </w:p>
    <w:p w14:paraId="1CE637F9" w14:textId="77777777" w:rsidR="004D0443" w:rsidRDefault="004D0443">
      <w:pPr>
        <w:spacing w:line="276" w:lineRule="auto"/>
        <w:jc w:val="both"/>
        <w:rPr>
          <w:rFonts w:ascii="Times New Roman" w:eastAsia="Times New Roman" w:hAnsi="Times New Roman" w:cs="Times New Roman"/>
          <w:sz w:val="22"/>
          <w:szCs w:val="22"/>
        </w:rPr>
      </w:pPr>
    </w:p>
    <w:p w14:paraId="1CE637FA"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9FB" wp14:editId="1CE639FC">
            <wp:extent cx="5992313" cy="4349476"/>
            <wp:effectExtent l="0" t="0" r="0" b="0"/>
            <wp:docPr id="1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992313" cy="4349476"/>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Tabla 1: </w:t>
      </w:r>
      <w:r>
        <w:rPr>
          <w:rFonts w:ascii="Times New Roman" w:eastAsia="Times New Roman" w:hAnsi="Times New Roman" w:cs="Times New Roman"/>
          <w:sz w:val="20"/>
          <w:szCs w:val="20"/>
        </w:rPr>
        <w:t xml:space="preserve">Lista de compañías de unicornios en 2024. </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CB Insights, 2024</w:t>
      </w:r>
      <w:r>
        <w:rPr>
          <w:rFonts w:ascii="Times New Roman" w:eastAsia="Times New Roman" w:hAnsi="Times New Roman" w:cs="Times New Roman"/>
          <w:sz w:val="20"/>
          <w:szCs w:val="20"/>
          <w:vertAlign w:val="superscript"/>
        </w:rPr>
        <w:footnoteReference w:id="9"/>
      </w:r>
      <w:r>
        <w:rPr>
          <w:rFonts w:ascii="Times New Roman" w:eastAsia="Times New Roman" w:hAnsi="Times New Roman" w:cs="Times New Roman"/>
          <w:sz w:val="20"/>
          <w:szCs w:val="20"/>
        </w:rPr>
        <w:t>.</w:t>
      </w:r>
    </w:p>
    <w:p w14:paraId="1CE637FB" w14:textId="77777777" w:rsidR="004D0443" w:rsidRDefault="004D0443">
      <w:pPr>
        <w:spacing w:line="276" w:lineRule="auto"/>
        <w:jc w:val="both"/>
        <w:rPr>
          <w:rFonts w:ascii="Times New Roman" w:eastAsia="Times New Roman" w:hAnsi="Times New Roman" w:cs="Times New Roman"/>
          <w:sz w:val="22"/>
          <w:szCs w:val="22"/>
        </w:rPr>
      </w:pPr>
    </w:p>
    <w:p w14:paraId="1CE637F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Una empresa unicornio, o startup unicornio, es una compañía privada con una valoración superior a mil millones de dólares. Para mayo de 2024, existen más de 1,200 unicornios</w:t>
      </w:r>
      <w:r>
        <w:rPr>
          <w:rFonts w:ascii="Times New Roman" w:eastAsia="Times New Roman" w:hAnsi="Times New Roman" w:cs="Times New Roman"/>
          <w:sz w:val="22"/>
          <w:szCs w:val="22"/>
          <w:vertAlign w:val="superscript"/>
        </w:rPr>
        <w:footnoteReference w:id="10"/>
      </w:r>
      <w:r>
        <w:rPr>
          <w:rFonts w:ascii="Times New Roman" w:eastAsia="Times New Roman" w:hAnsi="Times New Roman" w:cs="Times New Roman"/>
          <w:sz w:val="22"/>
          <w:szCs w:val="22"/>
        </w:rPr>
        <w:t xml:space="preserve"> en todo el mundo. Ejemplos destacados de antiguos unicornios incluyen Airbnb, Facebook y Google. Entre las variantes se encuentran los decacornios, valorados en más de 10 mil millones de dólares, y los hectocornios, que superan los 100 mil millones. </w:t>
      </w:r>
    </w:p>
    <w:p w14:paraId="1CE637FD" w14:textId="77777777" w:rsidR="004D0443" w:rsidRDefault="004D0443">
      <w:pPr>
        <w:spacing w:line="276" w:lineRule="auto"/>
        <w:jc w:val="both"/>
        <w:rPr>
          <w:rFonts w:ascii="Times New Roman" w:eastAsia="Times New Roman" w:hAnsi="Times New Roman" w:cs="Times New Roman"/>
          <w:sz w:val="22"/>
          <w:szCs w:val="22"/>
        </w:rPr>
      </w:pPr>
    </w:p>
    <w:p w14:paraId="1CE637F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Las startups mencionadas en el texto, como ByteDance, SpaceX, Shein, Stripe, Revolut, Databricks, y Fanatics, han tenido un impacto profundo en la economía mundial, generando efectos positivos tanto a nivel económico como en la creación de empleo, el avance tecnológico, y la disrupción de sectores tradicionales.</w:t>
      </w:r>
    </w:p>
    <w:p w14:paraId="1CE637FF" w14:textId="77777777" w:rsidR="004D0443" w:rsidRDefault="004D0443">
      <w:pPr>
        <w:spacing w:line="276" w:lineRule="auto"/>
        <w:jc w:val="both"/>
        <w:rPr>
          <w:rFonts w:ascii="Times New Roman" w:eastAsia="Times New Roman" w:hAnsi="Times New Roman" w:cs="Times New Roman"/>
          <w:sz w:val="22"/>
          <w:szCs w:val="22"/>
        </w:rPr>
      </w:pPr>
    </w:p>
    <w:p w14:paraId="1CE63800"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ByteDance: </w:t>
      </w:r>
      <w:r>
        <w:rPr>
          <w:rFonts w:ascii="Times New Roman" w:eastAsia="Times New Roman" w:hAnsi="Times New Roman" w:cs="Times New Roman"/>
          <w:sz w:val="22"/>
          <w:szCs w:val="22"/>
        </w:rPr>
        <w:t>Esta empresa china, valorada en 225 mil millones de dólares, ha revolucionado los sectores de los medios y la tecnología a través de su plataforma TikTok. Su impacto en la economía mundial es significativo, con un gran efecto en la generación de ingresos publicitarios y la creación de empleos en el sector tecnológico. Además, ByteDance ha demostrado cómo la inteligencia artificial puede personalizar el consumo de contenidos, incrementando la eficiencia en las plataformas digitales (Hurun Report, 2023)</w:t>
      </w:r>
      <w:r>
        <w:rPr>
          <w:rFonts w:ascii="Times New Roman" w:eastAsia="Times New Roman" w:hAnsi="Times New Roman" w:cs="Times New Roman"/>
          <w:sz w:val="22"/>
          <w:szCs w:val="22"/>
          <w:vertAlign w:val="superscript"/>
        </w:rPr>
        <w:footnoteReference w:id="11"/>
      </w:r>
      <w:r>
        <w:rPr>
          <w:rFonts w:ascii="Times New Roman" w:eastAsia="Times New Roman" w:hAnsi="Times New Roman" w:cs="Times New Roman"/>
          <w:sz w:val="22"/>
          <w:szCs w:val="22"/>
        </w:rPr>
        <w:t>. Este enfoque innovador ha redefinido el entretenimiento y los medios de comunicación digitales, contribuyendo al crecimiento del sector de la tecnología en mercados globales​.</w:t>
      </w:r>
    </w:p>
    <w:p w14:paraId="1CE63801" w14:textId="77777777" w:rsidR="004D0443" w:rsidRDefault="004D0443">
      <w:pPr>
        <w:spacing w:line="276" w:lineRule="auto"/>
        <w:ind w:left="720"/>
        <w:jc w:val="both"/>
        <w:rPr>
          <w:rFonts w:ascii="Times New Roman" w:eastAsia="Times New Roman" w:hAnsi="Times New Roman" w:cs="Times New Roman"/>
          <w:sz w:val="22"/>
          <w:szCs w:val="22"/>
        </w:rPr>
      </w:pPr>
    </w:p>
    <w:p w14:paraId="1CE63802"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SpaceX: </w:t>
      </w:r>
      <w:r>
        <w:rPr>
          <w:rFonts w:ascii="Times New Roman" w:eastAsia="Times New Roman" w:hAnsi="Times New Roman" w:cs="Times New Roman"/>
          <w:sz w:val="22"/>
          <w:szCs w:val="22"/>
        </w:rPr>
        <w:t>Es</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la segunda startup más valiosa, con una valoración de 150 mil millones de dólares, que ha cambiado el paradigma de la industria aeroespacial al reducir costos de lanzamiento y abrir nuevas oportunidades para empresas privadas y gobiernos. Esto ha impulsado una nueva economía espacial, que ha creado miles de empleos especializados y ha fortalecido las cadenas de suministro relacionadas con la manufactura avanzada (Hurun Report, 2023)</w:t>
      </w:r>
      <w:r>
        <w:rPr>
          <w:rFonts w:ascii="Times New Roman" w:eastAsia="Times New Roman" w:hAnsi="Times New Roman" w:cs="Times New Roman"/>
          <w:sz w:val="22"/>
          <w:szCs w:val="22"/>
          <w:vertAlign w:val="superscript"/>
        </w:rPr>
        <w:footnoteReference w:id="12"/>
      </w:r>
      <w:r>
        <w:rPr>
          <w:rFonts w:ascii="Times New Roman" w:eastAsia="Times New Roman" w:hAnsi="Times New Roman" w:cs="Times New Roman"/>
          <w:sz w:val="22"/>
          <w:szCs w:val="22"/>
        </w:rPr>
        <w:t>. Además, SpaceX ha facilitado una mayor inversión en tecnologías espaciales, lo que también beneficia a otras industrias como la de telecomunicaciones y defensa​</w:t>
      </w:r>
    </w:p>
    <w:p w14:paraId="1CE63803" w14:textId="77777777" w:rsidR="004D0443" w:rsidRDefault="004D0443">
      <w:pPr>
        <w:spacing w:line="276" w:lineRule="auto"/>
        <w:ind w:left="720"/>
        <w:jc w:val="both"/>
        <w:rPr>
          <w:rFonts w:ascii="Times New Roman" w:eastAsia="Times New Roman" w:hAnsi="Times New Roman" w:cs="Times New Roman"/>
          <w:sz w:val="22"/>
          <w:szCs w:val="22"/>
        </w:rPr>
      </w:pPr>
    </w:p>
    <w:p w14:paraId="1CE63804"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Shein: </w:t>
      </w:r>
      <w:r>
        <w:rPr>
          <w:rFonts w:ascii="Times New Roman" w:eastAsia="Times New Roman" w:hAnsi="Times New Roman" w:cs="Times New Roman"/>
          <w:sz w:val="22"/>
          <w:szCs w:val="22"/>
        </w:rPr>
        <w:t>Con una valoración de 66 mil millones de dólares ha transformado la industria de la moda, especialmente en el sector del comercio electrónico. Su enfoque en la moda rápida ha permitido a los consumidores acceder a productos asequibles, mientras que ha optimizado su cadena de suministro utilizando análisis de datos para predecir tendencias y reducir el desperdicio. A pesar de las críticas hacia el modelo de negocio de la moda rápida, Shein ha generado miles de empleos globalmente, principalmente en el sector de logística y producción, contribuyendo al crecimiento de la economía global del comercio electrónico (Tech Economy, 2023)</w:t>
      </w:r>
      <w:r>
        <w:rPr>
          <w:rFonts w:ascii="Times New Roman" w:eastAsia="Times New Roman" w:hAnsi="Times New Roman" w:cs="Times New Roman"/>
          <w:sz w:val="22"/>
          <w:szCs w:val="22"/>
          <w:vertAlign w:val="superscript"/>
        </w:rPr>
        <w:footnoteReference w:id="13"/>
      </w:r>
      <w:r>
        <w:rPr>
          <w:rFonts w:ascii="Times New Roman" w:eastAsia="Times New Roman" w:hAnsi="Times New Roman" w:cs="Times New Roman"/>
          <w:sz w:val="22"/>
          <w:szCs w:val="22"/>
        </w:rPr>
        <w:t>​.</w:t>
      </w:r>
    </w:p>
    <w:p w14:paraId="1CE63805" w14:textId="77777777" w:rsidR="004D0443" w:rsidRDefault="004D0443">
      <w:pPr>
        <w:spacing w:line="276" w:lineRule="auto"/>
        <w:ind w:left="720"/>
        <w:jc w:val="both"/>
        <w:rPr>
          <w:rFonts w:ascii="Times New Roman" w:eastAsia="Times New Roman" w:hAnsi="Times New Roman" w:cs="Times New Roman"/>
          <w:sz w:val="22"/>
          <w:szCs w:val="22"/>
        </w:rPr>
      </w:pPr>
    </w:p>
    <w:p w14:paraId="1CE63806"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Stripe y Revolut: </w:t>
      </w:r>
      <w:r>
        <w:rPr>
          <w:rFonts w:ascii="Times New Roman" w:eastAsia="Times New Roman" w:hAnsi="Times New Roman" w:cs="Times New Roman"/>
          <w:sz w:val="22"/>
          <w:szCs w:val="22"/>
        </w:rPr>
        <w:t>Ambas fintech, valoradas en 50 mil millones y 33 mil millones respectivamente, han tenido un papel fundamental en la transformación de los servicios financieros. Stripe ha revolucionado el procesamiento de pagos en línea, facilitando el crecimiento del comercio digital para pequeñas y grandes empresas. Revolut, por su parte, ha hecho que los servicios financieros sean más accesibles a nivel mundial, permitiendo a los usuarios realizar transacciones en varias divisas de manera eficiente y sin barreras geográficas (Tech Economy, 2023)</w:t>
      </w:r>
      <w:r>
        <w:rPr>
          <w:rFonts w:ascii="Times New Roman" w:eastAsia="Times New Roman" w:hAnsi="Times New Roman" w:cs="Times New Roman"/>
          <w:sz w:val="22"/>
          <w:szCs w:val="22"/>
          <w:vertAlign w:val="superscript"/>
        </w:rPr>
        <w:footnoteReference w:id="14"/>
      </w:r>
      <w:r>
        <w:rPr>
          <w:rFonts w:ascii="Times New Roman" w:eastAsia="Times New Roman" w:hAnsi="Times New Roman" w:cs="Times New Roman"/>
          <w:sz w:val="22"/>
          <w:szCs w:val="22"/>
        </w:rPr>
        <w:t>. Este tipo de innovaciones no solo facilita el comercio global, sino que también democratiza el acceso a servicios financieros, fortaleciendo la inclusión financiera en todo el mundo​.</w:t>
      </w:r>
    </w:p>
    <w:p w14:paraId="1CE63807" w14:textId="77777777" w:rsidR="004D0443" w:rsidRDefault="004D0443">
      <w:pPr>
        <w:spacing w:line="276" w:lineRule="auto"/>
        <w:ind w:left="720"/>
        <w:jc w:val="both"/>
        <w:rPr>
          <w:rFonts w:ascii="Times New Roman" w:eastAsia="Times New Roman" w:hAnsi="Times New Roman" w:cs="Times New Roman"/>
          <w:sz w:val="22"/>
          <w:szCs w:val="22"/>
        </w:rPr>
      </w:pPr>
    </w:p>
    <w:p w14:paraId="1CE63808"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Databricks y Epic Games:</w:t>
      </w:r>
      <w:r>
        <w:rPr>
          <w:rFonts w:ascii="Times New Roman" w:eastAsia="Times New Roman" w:hAnsi="Times New Roman" w:cs="Times New Roman"/>
          <w:sz w:val="22"/>
          <w:szCs w:val="22"/>
        </w:rPr>
        <w:t xml:space="preserve"> Databricks, con una valoración de 43 mil millones de dólares, ha potenciado la toma de decisiones basada en datos en diversas industrias, mejorando la eficiencia operativa y la innovación en sectores como la salud y la manufactura. Epic Games, valorada en 31.5 mil millones de dólares, ha revolucionado la industria de los videojuegos y el entretenimiento interactivo, creando nuevas formas de monetización y abriendo oportunidades para el desarrollo de tecnologías de realidad virtual y aumentada (Tech Economy, 2023)​</w:t>
      </w:r>
      <w:r>
        <w:rPr>
          <w:rFonts w:ascii="Times New Roman" w:eastAsia="Times New Roman" w:hAnsi="Times New Roman" w:cs="Times New Roman"/>
          <w:sz w:val="22"/>
          <w:szCs w:val="22"/>
          <w:vertAlign w:val="superscript"/>
        </w:rPr>
        <w:footnoteReference w:id="15"/>
      </w:r>
      <w:r>
        <w:rPr>
          <w:rFonts w:ascii="Times New Roman" w:eastAsia="Times New Roman" w:hAnsi="Times New Roman" w:cs="Times New Roman"/>
          <w:sz w:val="22"/>
          <w:szCs w:val="22"/>
        </w:rPr>
        <w:t>.</w:t>
      </w:r>
    </w:p>
    <w:p w14:paraId="1CE63809" w14:textId="77777777" w:rsidR="004D0443" w:rsidRDefault="004D0443">
      <w:pPr>
        <w:spacing w:line="276" w:lineRule="auto"/>
        <w:jc w:val="both"/>
        <w:rPr>
          <w:rFonts w:ascii="Times New Roman" w:eastAsia="Times New Roman" w:hAnsi="Times New Roman" w:cs="Times New Roman"/>
          <w:sz w:val="22"/>
          <w:szCs w:val="22"/>
        </w:rPr>
      </w:pPr>
    </w:p>
    <w:p w14:paraId="1CE6380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Celada (2019), el ecosistema de startups ha experimentado un crecimiento significativo en España, con un incremento superior al 20% en el último año. Para 2017, ya se contaban 3,258 empresas emergentes, concentradas principalmente en Barcelona (34%) y Madrid (31.5%), que lograron captar cerca de 780 millones de euros en inversión, lo que representó un aumento del 45% respecto al año anterior. Y destaca que la única forma para que sobrevivan las startups es el financiamiento:</w:t>
      </w:r>
    </w:p>
    <w:p w14:paraId="1CE6380B" w14:textId="77777777" w:rsidR="004D0443" w:rsidRDefault="004D0443">
      <w:pPr>
        <w:spacing w:line="276" w:lineRule="auto"/>
        <w:jc w:val="both"/>
        <w:rPr>
          <w:rFonts w:ascii="Times New Roman" w:eastAsia="Times New Roman" w:hAnsi="Times New Roman" w:cs="Times New Roman"/>
          <w:sz w:val="22"/>
          <w:szCs w:val="22"/>
        </w:rPr>
      </w:pPr>
    </w:p>
    <w:p w14:paraId="1CE6380C" w14:textId="77777777" w:rsidR="004D0443" w:rsidRDefault="00DA3067">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capital riesgo (Venture Capital) y el private equity juegan un papel fundamental en la financiación de startups, aportando capital en las primeras fases de crecimiento, lo que permite a las empresas escalar rápidamente” (Celada, 2019)</w:t>
      </w:r>
      <w:r>
        <w:rPr>
          <w:rFonts w:ascii="Times New Roman" w:eastAsia="Times New Roman" w:hAnsi="Times New Roman" w:cs="Times New Roman"/>
          <w:sz w:val="22"/>
          <w:szCs w:val="22"/>
          <w:vertAlign w:val="superscript"/>
        </w:rPr>
        <w:footnoteReference w:id="16"/>
      </w:r>
      <w:r>
        <w:rPr>
          <w:rFonts w:ascii="Times New Roman" w:eastAsia="Times New Roman" w:hAnsi="Times New Roman" w:cs="Times New Roman"/>
          <w:sz w:val="22"/>
          <w:szCs w:val="22"/>
        </w:rPr>
        <w:t>​.</w:t>
      </w:r>
    </w:p>
    <w:p w14:paraId="1CE6380D" w14:textId="77777777" w:rsidR="004D0443" w:rsidRDefault="004D0443">
      <w:pPr>
        <w:spacing w:line="276" w:lineRule="auto"/>
        <w:jc w:val="both"/>
        <w:rPr>
          <w:rFonts w:ascii="Times New Roman" w:eastAsia="Times New Roman" w:hAnsi="Times New Roman" w:cs="Times New Roman"/>
          <w:b/>
          <w:sz w:val="22"/>
          <w:szCs w:val="22"/>
        </w:rPr>
      </w:pPr>
    </w:p>
    <w:p w14:paraId="1CE6380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análisis de la autora destaca que para el caso de España solo el 15% de las startups han logrado sobrevivir, en gran medida debido a errores en la planificación o ejecución de sus modelos de negocio, subsanado eso el financiamiento juega una gran importancia para que la ejecución de los modelos de negocio puedan crecer y desarrollarse en el ambiente financiero.  </w:t>
      </w:r>
    </w:p>
    <w:p w14:paraId="1CE6380F" w14:textId="77777777" w:rsidR="004D0443" w:rsidRDefault="004D0443">
      <w:pPr>
        <w:spacing w:line="276" w:lineRule="auto"/>
        <w:jc w:val="both"/>
        <w:rPr>
          <w:rFonts w:ascii="Times New Roman" w:eastAsia="Times New Roman" w:hAnsi="Times New Roman" w:cs="Times New Roman"/>
          <w:sz w:val="22"/>
          <w:szCs w:val="22"/>
        </w:rPr>
      </w:pPr>
    </w:p>
    <w:p w14:paraId="1CE63810"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Ahora la pregunta es, frente a ese panorama reciente ¿Cúal es el contexto actual sobre las Startups? Para ello, se toma de base el artículo de Bloomberg en Línea “Los 8 cambios que redefinen la realidad de las startups globales de cara a 2024.”</w:t>
      </w:r>
      <w:r>
        <w:rPr>
          <w:rFonts w:ascii="Times New Roman" w:eastAsia="Times New Roman" w:hAnsi="Times New Roman" w:cs="Times New Roman"/>
          <w:sz w:val="22"/>
          <w:szCs w:val="22"/>
          <w:vertAlign w:val="superscript"/>
        </w:rPr>
        <w:footnoteReference w:id="17"/>
      </w:r>
      <w:r>
        <w:rPr>
          <w:rFonts w:ascii="Times New Roman" w:eastAsia="Times New Roman" w:hAnsi="Times New Roman" w:cs="Times New Roman"/>
          <w:sz w:val="22"/>
          <w:szCs w:val="22"/>
        </w:rPr>
        <w:t xml:space="preserve"> Como idea inicial el autor argumenta que en 2023, el capital de riesgo global experimentó un retroceso significativo, lo que ha llevado a los inversores a centrar su atención en los mercados emergentes. Según el informe de Endeavour Catalyst, este retroceso es considerado como un "regreso a la normalidad" después de los picos observados durante la pandemia. Cambio el cual menciona el autor que lleva a los dueños de las Startups a redefinir sus prioridades:</w:t>
      </w:r>
    </w:p>
    <w:p w14:paraId="1CE63811" w14:textId="77777777" w:rsidR="004D0443" w:rsidRDefault="004D0443">
      <w:pPr>
        <w:spacing w:line="276" w:lineRule="auto"/>
        <w:jc w:val="both"/>
        <w:rPr>
          <w:rFonts w:ascii="Times New Roman" w:eastAsia="Times New Roman" w:hAnsi="Times New Roman" w:cs="Times New Roman"/>
          <w:sz w:val="22"/>
          <w:szCs w:val="22"/>
        </w:rPr>
      </w:pPr>
    </w:p>
    <w:p w14:paraId="1CE63812" w14:textId="77777777" w:rsidR="004D0443" w:rsidRDefault="00DA3067">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Fundadores e inversores han vuelto a centrarse en los principios fundamentales, como la eficiencia del capital y los modelos de negocio rentables, especialmente al planificar nuevas rondas de capital (Salazar, 2024)​</w:t>
      </w:r>
      <w:r>
        <w:rPr>
          <w:rFonts w:ascii="Times New Roman" w:eastAsia="Times New Roman" w:hAnsi="Times New Roman" w:cs="Times New Roman"/>
          <w:sz w:val="22"/>
          <w:szCs w:val="22"/>
          <w:vertAlign w:val="superscript"/>
        </w:rPr>
        <w:footnoteReference w:id="18"/>
      </w:r>
      <w:r>
        <w:rPr>
          <w:rFonts w:ascii="Times New Roman" w:eastAsia="Times New Roman" w:hAnsi="Times New Roman" w:cs="Times New Roman"/>
          <w:sz w:val="22"/>
          <w:szCs w:val="22"/>
        </w:rPr>
        <w:t xml:space="preserve">. </w:t>
      </w:r>
    </w:p>
    <w:p w14:paraId="1CE63813" w14:textId="77777777" w:rsidR="004D0443" w:rsidRDefault="004D0443">
      <w:pPr>
        <w:spacing w:line="276" w:lineRule="auto"/>
        <w:ind w:left="566"/>
        <w:jc w:val="both"/>
        <w:rPr>
          <w:rFonts w:ascii="Times New Roman" w:eastAsia="Times New Roman" w:hAnsi="Times New Roman" w:cs="Times New Roman"/>
          <w:sz w:val="22"/>
          <w:szCs w:val="22"/>
        </w:rPr>
      </w:pPr>
    </w:p>
    <w:p w14:paraId="1CE6381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Y encuentra una oportunidad clave en el desarrollo de Inteligencia artificial, pues menciona que sigue siendo un punto brillante en el panorama de inversión, a pesar de las reducciones en la financiación de riesgo en 2023. El sector de la IA atrajo inversiones significativas y mostró una tendencia al alza año tras año. Por último, a modo de conclusión el autor menciona que en el contexto actual, el fracaso de startups es cada vez más aceptado y menos castigado, especialmente en un entorno donde muchas de ellas luchan por monetizar y financiar sus operaciones. Las tasas de mortalidad empresarial, tradicionalmente altas, se han amplificado (Salazar, 2024)​</w:t>
      </w:r>
      <w:r>
        <w:rPr>
          <w:rFonts w:ascii="Times New Roman" w:eastAsia="Times New Roman" w:hAnsi="Times New Roman" w:cs="Times New Roman"/>
          <w:sz w:val="22"/>
          <w:szCs w:val="22"/>
          <w:vertAlign w:val="superscript"/>
        </w:rPr>
        <w:footnoteReference w:id="19"/>
      </w:r>
      <w:r>
        <w:rPr>
          <w:rFonts w:ascii="Times New Roman" w:eastAsia="Times New Roman" w:hAnsi="Times New Roman" w:cs="Times New Roman"/>
          <w:sz w:val="22"/>
          <w:szCs w:val="22"/>
        </w:rPr>
        <w:t xml:space="preserve">. </w:t>
      </w:r>
    </w:p>
    <w:p w14:paraId="1CE63815" w14:textId="77777777" w:rsidR="004D0443" w:rsidRDefault="004D0443">
      <w:pPr>
        <w:spacing w:line="276" w:lineRule="auto"/>
        <w:jc w:val="both"/>
        <w:rPr>
          <w:rFonts w:ascii="Times New Roman" w:eastAsia="Times New Roman" w:hAnsi="Times New Roman" w:cs="Times New Roman"/>
          <w:b/>
          <w:sz w:val="22"/>
          <w:szCs w:val="22"/>
        </w:rPr>
      </w:pPr>
    </w:p>
    <w:p w14:paraId="1CE6381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modo de conclusión del apartado las startups han evolucionado hasta convertirse en actores cruciales en la economía global del siglo XXI. Ya no son percibidas únicamente como empresas de alto riesgo, sino como motores de innovación capaces de transformar industrias enteras. La capacidad de desarrollar productos y servicios disruptivos ha permitido a estas jóvenes empresas cimentar su rol en el crecimiento económico mundial. Sectores como la tecnología, las fintech y las ciencias de la vida se han beneficiado enormemente de su influencia, lo que resalta la importancia de estas compañías en el ecosistema de innovación. Además, el impacto de gigantes como ByteDance, SpaceX y Shein en sus respectivos sectores muestra el poder que tienen para generar cambios profundos a nivel económico y social. A medida que las startups continúan creciendo, la eficiencia de capital y el aprovechamiento de tecnologías emergentes como la inteligencia artificial serán fundamentales para su éxito futuro en un entorno global cada vez más competitivo.</w:t>
      </w:r>
    </w:p>
    <w:p w14:paraId="1CE63817"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2.3. Referentes internacionales: Brasil, México y España.</w:t>
      </w:r>
    </w:p>
    <w:p w14:paraId="1CE6381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Brasil ha adoptado un enfoque integral para fomentar la innovación y apoyar a las startups, siendo uno de los países líderes en América Latina en cuanto a desarrollo tecnológico. La sanción del Marco Legal de las Startups, a través de la Ley Complementaria n.º 182/2021, ha representado un paso significativo para mejorar el entorno empresarial en el país. Este marco tiene como objetivo facilitar el crecimiento de las startups mediante la creación de un ambiente normativo más flexible y adaptado a las necesidades de estas empresas. Un aspecto clave es el acceso simplificado a contratos con el gobierno, lo que les permite competir por proyectos públicos, acelerando su expansión y consolidación en el mercado (Ministerio de Ciencia, Tecnología e Innovación, 2021)</w:t>
      </w:r>
      <w:r>
        <w:rPr>
          <w:rFonts w:ascii="Times New Roman" w:eastAsia="Times New Roman" w:hAnsi="Times New Roman" w:cs="Times New Roman"/>
          <w:sz w:val="22"/>
          <w:szCs w:val="22"/>
          <w:vertAlign w:val="superscript"/>
        </w:rPr>
        <w:footnoteReference w:id="20"/>
      </w:r>
      <w:r>
        <w:rPr>
          <w:rFonts w:ascii="Times New Roman" w:eastAsia="Times New Roman" w:hAnsi="Times New Roman" w:cs="Times New Roman"/>
          <w:sz w:val="22"/>
          <w:szCs w:val="22"/>
        </w:rPr>
        <w:t>​.</w:t>
      </w:r>
    </w:p>
    <w:p w14:paraId="1CE6381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Este marco también fomenta la participación de inversores mediante la simplificación de los procedimientos administrativos y la reducción de cargas fiscales, lo que contribuye al acceso a financiamiento. Las plataformas de crowdfunding y otros mecanismos de inversión han sido regulados para permitir a las startups captar fondos de forma eficiente, lo que ha incrementado la inversión en sectores emergentes como las fintech, healthtech y agrotech. De esta manera, el marco legal no solo busca impulsar la creación de startups, sino que también promueve un ambiente propicio para la innovación tecnológica y la modernización económica de Brasil (Boletim Diário MCTI, 2022)</w:t>
      </w:r>
      <w:r>
        <w:rPr>
          <w:rFonts w:ascii="Times New Roman" w:eastAsia="Times New Roman" w:hAnsi="Times New Roman" w:cs="Times New Roman"/>
          <w:sz w:val="22"/>
          <w:szCs w:val="22"/>
          <w:vertAlign w:val="superscript"/>
        </w:rPr>
        <w:footnoteReference w:id="21"/>
      </w:r>
      <w:r>
        <w:rPr>
          <w:rFonts w:ascii="Times New Roman" w:eastAsia="Times New Roman" w:hAnsi="Times New Roman" w:cs="Times New Roman"/>
          <w:sz w:val="22"/>
          <w:szCs w:val="22"/>
        </w:rPr>
        <w:t>​.</w:t>
      </w:r>
    </w:p>
    <w:p w14:paraId="1CE6381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Un elemento fundamental dentro de este ecosistema es el sandbox regulatorio, implementado por el Banco Central de Brasil en 2020. Este entorno de prueba controlado permite a las empresas fintech experimentar con productos y servicios innovadores bajo un marco normativo flexible y supervisado. El sandbox regula productos financieros digitales sin las restricciones normativas tradicionales, lo que ha permitido a las empresas explorar nuevas tecnologías como la blockchain, la inteligencia artificial y el Internet de las Cosas (IoT). Este entorno ha sido esencial para el crecimiento de startups como Neon y Dock, que se han convertido en unicornios gracias a su capacidad para innovar en este espacio controlado (Ferrarezi, 2023)​</w:t>
      </w:r>
      <w:r>
        <w:rPr>
          <w:rFonts w:ascii="Times New Roman" w:eastAsia="Times New Roman" w:hAnsi="Times New Roman" w:cs="Times New Roman"/>
          <w:sz w:val="22"/>
          <w:szCs w:val="22"/>
          <w:vertAlign w:val="superscript"/>
        </w:rPr>
        <w:footnoteReference w:id="22"/>
      </w:r>
      <w:r>
        <w:rPr>
          <w:rFonts w:ascii="Times New Roman" w:eastAsia="Times New Roman" w:hAnsi="Times New Roman" w:cs="Times New Roman"/>
          <w:sz w:val="22"/>
          <w:szCs w:val="22"/>
        </w:rPr>
        <w:t>.</w:t>
      </w:r>
    </w:p>
    <w:p w14:paraId="1CE6381B"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9FD" wp14:editId="1CE639FE">
            <wp:extent cx="5612400" cy="4191000"/>
            <wp:effectExtent l="0" t="0" r="0" b="0"/>
            <wp:docPr id="13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0"/>
                    <a:srcRect/>
                    <a:stretch>
                      <a:fillRect/>
                    </a:stretch>
                  </pic:blipFill>
                  <pic:spPr>
                    <a:xfrm>
                      <a:off x="0" y="0"/>
                      <a:ext cx="5612400" cy="4191000"/>
                    </a:xfrm>
                    <a:prstGeom prst="rect">
                      <a:avLst/>
                    </a:prstGeom>
                    <a:ln/>
                  </pic:spPr>
                </pic:pic>
              </a:graphicData>
            </a:graphic>
          </wp:inline>
        </w:drawing>
      </w:r>
      <w:r>
        <w:rPr>
          <w:rFonts w:ascii="Times New Roman" w:eastAsia="Times New Roman" w:hAnsi="Times New Roman" w:cs="Times New Roman"/>
          <w:sz w:val="20"/>
          <w:szCs w:val="20"/>
        </w:rPr>
        <w:t xml:space="preserve"> Imagen 2: Países con mayo número de Fintech Locales.</w:t>
      </w:r>
      <w:r>
        <w:rPr>
          <w:rFonts w:ascii="Times New Roman" w:eastAsia="Times New Roman" w:hAnsi="Times New Roman" w:cs="Times New Roman"/>
          <w:sz w:val="20"/>
          <w:szCs w:val="20"/>
        </w:rPr>
        <w:br/>
        <w:t>Fuente: Bloomberg en Línea, 2023</w:t>
      </w:r>
      <w:r>
        <w:rPr>
          <w:rFonts w:ascii="Times New Roman" w:eastAsia="Times New Roman" w:hAnsi="Times New Roman" w:cs="Times New Roman"/>
          <w:sz w:val="20"/>
          <w:szCs w:val="20"/>
          <w:vertAlign w:val="superscript"/>
        </w:rPr>
        <w:footnoteReference w:id="23"/>
      </w:r>
    </w:p>
    <w:p w14:paraId="1CE6381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de fomentar el crecimiento del sector fintech, el sandbox regulatorio también ha servido en Brasil como una herramienta clave para que los reguladores comprendan mejor las tecnologías emergentes y puedan adaptar las normativas para proteger a los consumidores y mantener la estabilidad del mercado. Este enfoque ha creado un equilibrio crucial entre la innovación y la regulación, lo que ha permitido a Brasil posicionarse como un referente en la regulación de tecnologías emergentes en América Latina. También, como lo expone Ferrarezi (2023) ha sido pionero en la regulación de criptomonedas con la aprobación de la Ley del Bitcoin en 2021 que proporcionó un marco jurídico claro para las transacciones con criptomonedas y otros activos digitales, regulando tanto a los emisores de criptoactivos como a los proveedores de servicios. Esta ley fue diseñada para ofrecer seguridad jurídica a los inversores y usuarios, protegiendo sus derechos y estableciendo una mayor transparencia en el mercado de criptoactivos. Este enfoque ha permitido que el ecosistema fintech brasileño siga creciendo, atrayendo inversiones y fortaleciendo la economía digital del país.</w:t>
      </w:r>
    </w:p>
    <w:p w14:paraId="1CE6381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México se ha convertido en un referente global en la regulación de fintech, gracias a la promulgación de la Ley para Regular las Instituciones de Tecnología Financiera en 2018. Esta ley, conocida como Ley Fintech, fue pionera en Latinoamérica y tiene como objetivo fomentar la innovación, la inclusión financiera y la protección al consumidor, regulando aspectos clave del ecosistema fintech, como las plataformas de pago, el financiamiento colectivo y los activos virtuales. La Ley Fintech se basa en tres pilares clave: la transparencia, la seguridad y la promoción de la competencia. En primer lugar, establece un marco normativo para las instituciones de fondos de pago electrónico (IFPE) y las instituciones de financiamiento colectivo (IFC). Estas figuras permiten a las fintech operar de forma regulada, lo que ha facilitado la entrada de nuevas empresas al mercado y ha promovido la competencia con instituciones financieras tradicionales. La ley también regula el uso de activos virtuales (como las criptomonedas), que solo pueden ser operados por instituciones autorizadas y bajo supervisión del Banco de México (Gobierno de México, 2021)</w:t>
      </w:r>
      <w:r>
        <w:rPr>
          <w:rFonts w:ascii="Times New Roman" w:eastAsia="Times New Roman" w:hAnsi="Times New Roman" w:cs="Times New Roman"/>
          <w:sz w:val="22"/>
          <w:szCs w:val="22"/>
          <w:vertAlign w:val="superscript"/>
        </w:rPr>
        <w:footnoteReference w:id="24"/>
      </w:r>
      <w:r>
        <w:rPr>
          <w:rFonts w:ascii="Times New Roman" w:eastAsia="Times New Roman" w:hAnsi="Times New Roman" w:cs="Times New Roman"/>
          <w:sz w:val="22"/>
          <w:szCs w:val="22"/>
        </w:rPr>
        <w:t>.</w:t>
      </w:r>
    </w:p>
    <w:p w14:paraId="1CE6381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Desde su implementación, la Ley Fintech ha impulsado el crecimiento de startups innovadoras como Kavak y Stori, que han aprovechado este marco regulatorio para expandir sus operaciones y atraer inversión. Esta ley no solo ha creado un entorno propicio para el surgimiento de nuevos actores en el sector financiero, sino que también ha permitido a empresas enfocadas en la digitalización de servicios financieros acceder a más usuarios, especialmente en áreas rurales con poca penetración bancaria. El éxito de esta legislación según lo que menciona el autor del artículo  ha fortalecido a México como líder en el sector fintech en la región. Además, ha inspirado a otros países latinoamericanos como Chile y Colombia a desarrollar marcos regulatorios similares, orientados a promover la innovación y proteger al consumidor. La ley ha sido un catalizador para la adopción de open banking y la creación de sandbox regulatorios, lo que permite a las startups probar nuevos modelos de negocio en un entorno supervisado antes de cumplir con todos los requisitos regulatorios (Legal Paradox, 2024)​</w:t>
      </w:r>
      <w:r>
        <w:rPr>
          <w:rFonts w:ascii="Times New Roman" w:eastAsia="Times New Roman" w:hAnsi="Times New Roman" w:cs="Times New Roman"/>
          <w:sz w:val="22"/>
          <w:szCs w:val="22"/>
          <w:vertAlign w:val="superscript"/>
        </w:rPr>
        <w:footnoteReference w:id="25"/>
      </w:r>
      <w:r>
        <w:rPr>
          <w:rFonts w:ascii="Times New Roman" w:eastAsia="Times New Roman" w:hAnsi="Times New Roman" w:cs="Times New Roman"/>
          <w:sz w:val="22"/>
          <w:szCs w:val="22"/>
        </w:rPr>
        <w:t>.</w:t>
      </w:r>
    </w:p>
    <w:p w14:paraId="1CE6381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España se creó la Ley 28/2022, aprobada el 21 de diciembre de 2022, tiene como objetivo fomentar la creación y crecimiento de startups en España, estableciendo un marco regulador específico para estas empresas emergentes, especialmente aquellas con un alto componente de innovación tecnológica. La normativa define las startups como empresas de reciente creación, con sede en España, que no han distribuido dividendos, y cuya actividad principal debe ser innovadora y con un modelo de negocio escalable. Las empresas pueden beneficiarse de esta ley durante los primeros cinco años (o siete para sectores estratégicos como biotecnología o energía), siempre y cuando cumplan con los requisitos establecidos, entre ellos tener al menos el 60% de la plantilla contratada en España (BOE, 2022)</w:t>
      </w:r>
      <w:r>
        <w:rPr>
          <w:rFonts w:ascii="Times New Roman" w:eastAsia="Times New Roman" w:hAnsi="Times New Roman" w:cs="Times New Roman"/>
          <w:sz w:val="22"/>
          <w:szCs w:val="22"/>
          <w:vertAlign w:val="superscript"/>
        </w:rPr>
        <w:footnoteReference w:id="26"/>
      </w:r>
      <w:r>
        <w:rPr>
          <w:rFonts w:ascii="Times New Roman" w:eastAsia="Times New Roman" w:hAnsi="Times New Roman" w:cs="Times New Roman"/>
          <w:sz w:val="22"/>
          <w:szCs w:val="22"/>
        </w:rPr>
        <w:t>.</w:t>
      </w:r>
    </w:p>
    <w:p w14:paraId="1CE6382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Entre los principales beneficios de la ley se encuentran los incentivos fiscales, como la reducción del Impuesto de Sociedades al 15% durante los primeros cuatro años de actividad y el aplazamiento de deudas tributarias durante los dos primeros. Asimismo, se mejora la fiscalidad de las stock options, permitiendo a los empleados de startups recibir acciones con una exención fiscal de hasta 50.000 euros anuales. Estos incentivos buscan facilitar el crecimiento de estas empresas en sus etapas iniciales y atraer talento cualificado, tanto nacional como internacional. En ese sentido, la ley introduce también el visado para "nómadas digitales" y flexibiliza las condiciones de residencia para profesionales y emprendedores extranjeros, facilitando su incorporación al ecosistema de startups en España (BOE, 2022)</w:t>
      </w:r>
      <w:r>
        <w:rPr>
          <w:rFonts w:ascii="Times New Roman" w:eastAsia="Times New Roman" w:hAnsi="Times New Roman" w:cs="Times New Roman"/>
          <w:sz w:val="22"/>
          <w:szCs w:val="22"/>
          <w:vertAlign w:val="superscript"/>
        </w:rPr>
        <w:footnoteReference w:id="27"/>
      </w:r>
      <w:r>
        <w:rPr>
          <w:rFonts w:ascii="Times New Roman" w:eastAsia="Times New Roman" w:hAnsi="Times New Roman" w:cs="Times New Roman"/>
          <w:sz w:val="22"/>
          <w:szCs w:val="22"/>
          <w:vertAlign w:val="superscript"/>
        </w:rPr>
        <w:footnoteReference w:id="28"/>
      </w:r>
      <w:r>
        <w:rPr>
          <w:rFonts w:ascii="Times New Roman" w:eastAsia="Times New Roman" w:hAnsi="Times New Roman" w:cs="Times New Roman"/>
          <w:sz w:val="22"/>
          <w:szCs w:val="22"/>
        </w:rPr>
        <w:t>.</w:t>
      </w:r>
    </w:p>
    <w:p w14:paraId="1CE63821"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Otro aspecto destacado de la ley es su enfoque en la atracción de inversión extranjera. Se incrementa la deducción por inversión en startups del 30% al 50%, con un máximo de 100.000 euros anuales, y se simplifican los trámites administrativos para inversores no residentes. Además, la ley promueve el desarrollo de polos de innovación en áreas rurales, buscando generar oportunidades fuera de los grandes centros urbanos y reducir la despoblación, lo que también contribuye a una mayor cohesión territorial. En conjunto, estas medidas posicionan a España como un país atractivo para la creación de startups, alineándose con los estándares europeos, y establecen un entorno favorable tanto para emprendedores como para inversores (BOE, 2022)</w:t>
      </w:r>
      <w:r>
        <w:rPr>
          <w:rFonts w:ascii="Times New Roman" w:eastAsia="Times New Roman" w:hAnsi="Times New Roman" w:cs="Times New Roman"/>
          <w:sz w:val="22"/>
          <w:szCs w:val="22"/>
          <w:vertAlign w:val="superscript"/>
        </w:rPr>
        <w:footnoteReference w:id="29"/>
      </w:r>
      <w:r>
        <w:rPr>
          <w:rFonts w:ascii="Times New Roman" w:eastAsia="Times New Roman" w:hAnsi="Times New Roman" w:cs="Times New Roman"/>
          <w:sz w:val="22"/>
          <w:szCs w:val="22"/>
        </w:rPr>
        <w:t>.</w:t>
      </w:r>
    </w:p>
    <w:p w14:paraId="1CE63822"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2.4. El papel de Colombia con las startups</w:t>
      </w:r>
    </w:p>
    <w:p w14:paraId="1CE63823" w14:textId="77777777" w:rsidR="004D0443" w:rsidRDefault="004D0443">
      <w:pPr>
        <w:spacing w:line="276" w:lineRule="auto"/>
        <w:jc w:val="both"/>
        <w:rPr>
          <w:rFonts w:ascii="Times New Roman" w:eastAsia="Times New Roman" w:hAnsi="Times New Roman" w:cs="Times New Roman"/>
          <w:sz w:val="22"/>
          <w:szCs w:val="22"/>
        </w:rPr>
      </w:pPr>
    </w:p>
    <w:p w14:paraId="1CE6382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Colombia está atravesando una importante transformación económica impulsada por el crecimiento y la expansión de las startups, que han tejido una red de innovación que remodela el panorama empresarial del país. Estas empresas emergentes han desempeñado un papel clave en la generación de empleo formal, brindando oportunidades laborales en sectores innovadores, lo que a su vez ha contribuido a reducir la informalidad laboral en el país. A medida que las startups crecen, contratan a jóvenes talentos y profesionales, lo que no solo mejora la empleabilidad, sino que también fortalece la calidad de la fuerza laboral (Altos Empresarios, 2024)</w:t>
      </w:r>
      <w:r>
        <w:rPr>
          <w:rFonts w:ascii="Times New Roman" w:eastAsia="Times New Roman" w:hAnsi="Times New Roman" w:cs="Times New Roman"/>
          <w:sz w:val="22"/>
          <w:szCs w:val="22"/>
          <w:vertAlign w:val="superscript"/>
        </w:rPr>
        <w:footnoteReference w:id="30"/>
      </w:r>
      <w:r>
        <w:rPr>
          <w:rFonts w:ascii="Times New Roman" w:eastAsia="Times New Roman" w:hAnsi="Times New Roman" w:cs="Times New Roman"/>
          <w:sz w:val="22"/>
          <w:szCs w:val="22"/>
        </w:rPr>
        <w:t>. Esta tendencia ha generado un impacto positivo en el crecimiento económico, permitiendo a las startups expandir sus operaciones y aumentar su presencia tanto a nivel nacional como internacional. El auge de estas empresas ha estimulado la innovación en sectores clave como la tecnología, fintech, salud, educación y energías renovables, mejorando la competitividad del país en el escenario global.</w:t>
      </w:r>
    </w:p>
    <w:p w14:paraId="1CE63825" w14:textId="77777777" w:rsidR="004D0443" w:rsidRDefault="004D0443">
      <w:pPr>
        <w:spacing w:line="276" w:lineRule="auto"/>
        <w:jc w:val="both"/>
        <w:rPr>
          <w:rFonts w:ascii="Times New Roman" w:eastAsia="Times New Roman" w:hAnsi="Times New Roman" w:cs="Times New Roman"/>
          <w:sz w:val="22"/>
          <w:szCs w:val="22"/>
        </w:rPr>
      </w:pPr>
    </w:p>
    <w:p w14:paraId="1CE6382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Otro aspecto importante es el desarrollo de habilidades y capacidades en la fuerza laboral, ya que muchas startups se centran en la formación y capacitación de sus empleados, incrementando así la calidad del capital humano disponible en el mercado. Esto ha permitido que las startups no solo mejoren su productividad interna, sino que también contribuyan al crecimiento general de la economía colombiana. En sectores como fintech, las startups están revolucionando la industria financiera mediante soluciones innovadoras que democratizan el acceso a servicios financieros y mejoran la inclusión financiera del país (Altos Empresarios, 2024)</w:t>
      </w:r>
      <w:r>
        <w:rPr>
          <w:rFonts w:ascii="Times New Roman" w:eastAsia="Times New Roman" w:hAnsi="Times New Roman" w:cs="Times New Roman"/>
          <w:sz w:val="22"/>
          <w:szCs w:val="22"/>
          <w:vertAlign w:val="superscript"/>
        </w:rPr>
        <w:footnoteReference w:id="31"/>
      </w:r>
      <w:r>
        <w:rPr>
          <w:rFonts w:ascii="Times New Roman" w:eastAsia="Times New Roman" w:hAnsi="Times New Roman" w:cs="Times New Roman"/>
          <w:sz w:val="22"/>
          <w:szCs w:val="22"/>
        </w:rPr>
        <w:t>.</w:t>
      </w:r>
    </w:p>
    <w:p w14:paraId="1CE63827" w14:textId="77777777" w:rsidR="004D0443" w:rsidRDefault="004D0443">
      <w:pPr>
        <w:spacing w:line="276" w:lineRule="auto"/>
        <w:jc w:val="both"/>
        <w:rPr>
          <w:rFonts w:ascii="Times New Roman" w:eastAsia="Times New Roman" w:hAnsi="Times New Roman" w:cs="Times New Roman"/>
          <w:sz w:val="22"/>
          <w:szCs w:val="22"/>
        </w:rPr>
      </w:pPr>
    </w:p>
    <w:p w14:paraId="1CE6382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una oportunidad de mejora para el país se encuentra la falta de énfasis en políticas de emprendimiento, algo que contrasta con el gobierno anterior, que tenía una orientación más clara hacia la creación de startups tecnológicas. Sin embargo, durante el Gobierno del actual presidente Gustavo Petro se ha  ha planteado la necesidad de fortalecer una sociedad del conocimiento, lo que incluye una mayor inversión en educación digital, matemáticas, inglés y alfabetización tecnológica, aspectos que, a largo plazo, podrían fortalecer la base sobre la cual las startups crecen en el país (Alfaro, 2022)</w:t>
      </w:r>
      <w:r>
        <w:rPr>
          <w:rFonts w:ascii="Times New Roman" w:eastAsia="Times New Roman" w:hAnsi="Times New Roman" w:cs="Times New Roman"/>
          <w:sz w:val="22"/>
          <w:szCs w:val="22"/>
          <w:vertAlign w:val="superscript"/>
        </w:rPr>
        <w:footnoteReference w:id="32"/>
      </w:r>
      <w:r>
        <w:rPr>
          <w:rFonts w:ascii="Times New Roman" w:eastAsia="Times New Roman" w:hAnsi="Times New Roman" w:cs="Times New Roman"/>
          <w:sz w:val="22"/>
          <w:szCs w:val="22"/>
        </w:rPr>
        <w:t>. A pesar de estos retos, el ecosistema de emprendimiento en Colombia sigue siendo robusto, con una creciente participación de actores locales e internacionales que impulsan el acceso al venture capital. Según cifras recientes, el país aumentó en un 63% el número de operaciones de capital de riesgo en el primer semestre de 2022, lo que demuestra que el entorno sigue siendo atractivo para los inversionistas.</w:t>
      </w:r>
    </w:p>
    <w:p w14:paraId="1CE63829" w14:textId="77777777" w:rsidR="004D0443" w:rsidRDefault="004D0443">
      <w:pPr>
        <w:spacing w:line="276" w:lineRule="auto"/>
        <w:jc w:val="both"/>
        <w:rPr>
          <w:rFonts w:ascii="Times New Roman" w:eastAsia="Times New Roman" w:hAnsi="Times New Roman" w:cs="Times New Roman"/>
          <w:sz w:val="22"/>
          <w:szCs w:val="22"/>
        </w:rPr>
      </w:pPr>
    </w:p>
    <w:p w14:paraId="1CE6382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El Colombia Tech Report 2023-2024</w:t>
      </w:r>
      <w:r>
        <w:rPr>
          <w:rFonts w:ascii="Times New Roman" w:eastAsia="Times New Roman" w:hAnsi="Times New Roman" w:cs="Times New Roman"/>
          <w:sz w:val="22"/>
          <w:szCs w:val="22"/>
          <w:vertAlign w:val="superscript"/>
        </w:rPr>
        <w:footnoteReference w:id="33"/>
      </w:r>
      <w:r>
        <w:rPr>
          <w:rFonts w:ascii="Times New Roman" w:eastAsia="Times New Roman" w:hAnsi="Times New Roman" w:cs="Times New Roman"/>
          <w:sz w:val="22"/>
          <w:szCs w:val="22"/>
        </w:rPr>
        <w:t xml:space="preserve"> El ecosistema de startups en el país ha crecido un 30% en comparación con el año anterior, registrando un total de 1,720 startups en todo el territorio nacional. Este aumento refleja el auge del emprendimiento en sectores clave como fintech, proptech y healthtech, concentrándose principalmente en Bogotá y Antioquia, que albergan el 80% de estas empresas. Sin embargo, otras regiones como el Valle del Cauca y Atlántico también han visto un aumento significativo en su participación, lo que está diversificando el panorama de innovación en el país.</w:t>
      </w:r>
    </w:p>
    <w:p w14:paraId="1CE6382B" w14:textId="77777777" w:rsidR="004D0443" w:rsidRDefault="004D0443">
      <w:pPr>
        <w:spacing w:line="276" w:lineRule="auto"/>
        <w:jc w:val="both"/>
        <w:rPr>
          <w:rFonts w:ascii="Times New Roman" w:eastAsia="Times New Roman" w:hAnsi="Times New Roman" w:cs="Times New Roman"/>
          <w:sz w:val="22"/>
          <w:szCs w:val="22"/>
        </w:rPr>
      </w:pPr>
    </w:p>
    <w:p w14:paraId="1CE6382C"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noProof/>
          <w:sz w:val="22"/>
          <w:szCs w:val="22"/>
          <w:lang w:val="es-CO"/>
        </w:rPr>
        <w:drawing>
          <wp:inline distT="114300" distB="114300" distL="114300" distR="114300" wp14:anchorId="1CE639FF" wp14:editId="1CE63A00">
            <wp:extent cx="4877888" cy="4828198"/>
            <wp:effectExtent l="0" t="0" r="0" b="0"/>
            <wp:docPr id="13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4877888" cy="4828198"/>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Tabla 3: </w:t>
      </w:r>
      <w:r>
        <w:rPr>
          <w:rFonts w:ascii="Times New Roman" w:eastAsia="Times New Roman" w:hAnsi="Times New Roman" w:cs="Times New Roman"/>
          <w:sz w:val="20"/>
          <w:szCs w:val="20"/>
        </w:rPr>
        <w:t>Global Startup Ecosystem Index de 2023 - 2024</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4"/>
      </w:r>
      <w:r>
        <w:rPr>
          <w:rFonts w:ascii="Times New Roman" w:eastAsia="Times New Roman" w:hAnsi="Times New Roman" w:cs="Times New Roman"/>
          <w:sz w:val="20"/>
          <w:szCs w:val="20"/>
        </w:rPr>
        <w:t>.</w:t>
      </w:r>
      <w:r>
        <w:rPr>
          <w:rFonts w:ascii="Times New Roman" w:eastAsia="Times New Roman" w:hAnsi="Times New Roman" w:cs="Times New Roman"/>
          <w:b/>
          <w:sz w:val="22"/>
          <w:szCs w:val="22"/>
        </w:rPr>
        <w:br/>
      </w:r>
    </w:p>
    <w:p w14:paraId="1CE6382D"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el Global Startup Ecosystem Index de 2023 ubica a Colombia en la posición 40, subiendo 4 lugares respecto a 2022. Este ranking global clasifica los ecosistemas de startups de 100 países, evaluando criterios como la cantidad de startups, calidad del financiamiento, y facilidad para hacer negocios. Colombia ha superado a países como México y Chile, gracias a un entorno de emprendimiento fortalecido por iniciativas de apoyo y alfabetización tecnológica. El crecimiento de startups como Habi, Platzi y Ontop, además del desarrollo del hub fintech, han sido claves para este avance.</w:t>
      </w:r>
    </w:p>
    <w:p w14:paraId="1CE6382E" w14:textId="77777777" w:rsidR="004D0443" w:rsidRDefault="004D0443">
      <w:pPr>
        <w:spacing w:line="276" w:lineRule="auto"/>
        <w:jc w:val="both"/>
        <w:rPr>
          <w:rFonts w:ascii="Times New Roman" w:eastAsia="Times New Roman" w:hAnsi="Times New Roman" w:cs="Times New Roman"/>
          <w:sz w:val="22"/>
          <w:szCs w:val="22"/>
        </w:rPr>
      </w:pPr>
    </w:p>
    <w:p w14:paraId="1CE6382F"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1" wp14:editId="1CE63A02">
            <wp:extent cx="5586103" cy="4674971"/>
            <wp:effectExtent l="0" t="0" r="0" b="0"/>
            <wp:docPr id="1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586103" cy="4674971"/>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3 </w:t>
      </w:r>
      <w:r>
        <w:rPr>
          <w:rFonts w:ascii="Times New Roman" w:eastAsia="Times New Roman" w:hAnsi="Times New Roman" w:cs="Times New Roman"/>
          <w:sz w:val="20"/>
          <w:szCs w:val="20"/>
        </w:rPr>
        <w:t>Los 20 acuerdos más significativos del 2023 en Colombia</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5"/>
      </w:r>
      <w:r>
        <w:rPr>
          <w:rFonts w:ascii="Times New Roman" w:eastAsia="Times New Roman" w:hAnsi="Times New Roman" w:cs="Times New Roman"/>
          <w:sz w:val="20"/>
          <w:szCs w:val="20"/>
        </w:rPr>
        <w:t>.</w:t>
      </w:r>
    </w:p>
    <w:p w14:paraId="1CE63830" w14:textId="77777777" w:rsidR="004D0443" w:rsidRDefault="004D0443">
      <w:pPr>
        <w:spacing w:line="276" w:lineRule="auto"/>
        <w:jc w:val="both"/>
        <w:rPr>
          <w:rFonts w:ascii="Times New Roman" w:eastAsia="Times New Roman" w:hAnsi="Times New Roman" w:cs="Times New Roman"/>
          <w:sz w:val="22"/>
          <w:szCs w:val="22"/>
        </w:rPr>
      </w:pPr>
    </w:p>
    <w:p w14:paraId="1CE63831"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2023, los 20 acuerdos más grandes del ecosistema colombiano de startups abarcaron desde 4.6 millones hasta 62 millones de dólares. Bogotá lideró con 13 de estos acuerdos, representando el 65% del total. A destacar, dos de los acuerdos más significativos en volumen provinieron de La Haus (PropTech) y Erco Energy (EnergyTech), ambas con sede en Medellín. También se registraron levantamientos de capital en Cali y Barranquilla, lo que refleja un panorama diversificado y dinámico en todo el país. </w:t>
      </w:r>
    </w:p>
    <w:p w14:paraId="1CE63832" w14:textId="77777777" w:rsidR="004D0443" w:rsidRDefault="004D0443">
      <w:pPr>
        <w:spacing w:line="276" w:lineRule="auto"/>
        <w:jc w:val="both"/>
        <w:rPr>
          <w:rFonts w:ascii="Times New Roman" w:eastAsia="Times New Roman" w:hAnsi="Times New Roman" w:cs="Times New Roman"/>
          <w:sz w:val="22"/>
          <w:szCs w:val="22"/>
        </w:rPr>
      </w:pPr>
    </w:p>
    <w:p w14:paraId="1CE6383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el sector Fintech, como lo demuestra el informe lidera las inversiones en Colombia, eso lo explica la siguiente figura:</w:t>
      </w:r>
    </w:p>
    <w:p w14:paraId="1CE63834" w14:textId="77777777" w:rsidR="004D0443" w:rsidRDefault="004D0443">
      <w:pPr>
        <w:spacing w:line="276" w:lineRule="auto"/>
        <w:jc w:val="both"/>
        <w:rPr>
          <w:rFonts w:ascii="Times New Roman" w:eastAsia="Times New Roman" w:hAnsi="Times New Roman" w:cs="Times New Roman"/>
          <w:sz w:val="22"/>
          <w:szCs w:val="22"/>
        </w:rPr>
      </w:pPr>
    </w:p>
    <w:p w14:paraId="1CE63835"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noProof/>
          <w:sz w:val="22"/>
          <w:szCs w:val="22"/>
          <w:lang w:val="es-CO"/>
        </w:rPr>
        <w:drawing>
          <wp:inline distT="114300" distB="114300" distL="114300" distR="114300" wp14:anchorId="1CE63A03" wp14:editId="1CE63A04">
            <wp:extent cx="5612400" cy="3327400"/>
            <wp:effectExtent l="0" t="0" r="0" b="0"/>
            <wp:docPr id="14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a:srcRect/>
                    <a:stretch>
                      <a:fillRect/>
                    </a:stretch>
                  </pic:blipFill>
                  <pic:spPr>
                    <a:xfrm>
                      <a:off x="0" y="0"/>
                      <a:ext cx="5612400" cy="3327400"/>
                    </a:xfrm>
                    <a:prstGeom prst="rect">
                      <a:avLst/>
                    </a:prstGeom>
                    <a:ln/>
                  </pic:spPr>
                </pic:pic>
              </a:graphicData>
            </a:graphic>
          </wp:inline>
        </w:drawing>
      </w:r>
    </w:p>
    <w:p w14:paraId="1CE63836" w14:textId="77777777" w:rsidR="004D0443" w:rsidRDefault="00DA3067">
      <w:pPr>
        <w:spacing w:line="276" w:lineRule="auto"/>
        <w:jc w:val="center"/>
        <w:rPr>
          <w:rFonts w:ascii="Times New Roman" w:eastAsia="Times New Roman" w:hAnsi="Times New Roman" w:cs="Times New Roman"/>
          <w:sz w:val="22"/>
          <w:szCs w:val="22"/>
        </w:rPr>
      </w:pPr>
      <w:r>
        <w:rPr>
          <w:rFonts w:ascii="Times New Roman" w:eastAsia="Times New Roman" w:hAnsi="Times New Roman" w:cs="Times New Roman"/>
          <w:b/>
          <w:sz w:val="20"/>
          <w:szCs w:val="20"/>
        </w:rPr>
        <w:t xml:space="preserve">Imagen 4: </w:t>
      </w:r>
      <w:r>
        <w:rPr>
          <w:rFonts w:ascii="Times New Roman" w:eastAsia="Times New Roman" w:hAnsi="Times New Roman" w:cs="Times New Roman"/>
          <w:sz w:val="20"/>
          <w:szCs w:val="20"/>
        </w:rPr>
        <w:t>Comportamiento de las inversiones en startups en Colombia del 2019 a 2023</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6"/>
      </w:r>
      <w:r>
        <w:rPr>
          <w:rFonts w:ascii="Times New Roman" w:eastAsia="Times New Roman" w:hAnsi="Times New Roman" w:cs="Times New Roman"/>
          <w:sz w:val="20"/>
          <w:szCs w:val="20"/>
        </w:rPr>
        <w:t>.</w:t>
      </w:r>
      <w:r>
        <w:rPr>
          <w:rFonts w:ascii="Times New Roman" w:eastAsia="Times New Roman" w:hAnsi="Times New Roman" w:cs="Times New Roman"/>
          <w:sz w:val="22"/>
          <w:szCs w:val="22"/>
        </w:rPr>
        <w:br/>
      </w:r>
    </w:p>
    <w:p w14:paraId="1CE63837"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lo demuestra el informe en 2023, Colombia vio a las fintech liderar la captación de inversiones, representando el 39% del total, seguidas por las startups de proptech con un 29% y las de energytech con un 8%, este último sector aumentando en 6 posiciones con respecto al año anterior. Este crecimiento en energytech refleja el creciente interés en tecnologías vinculadas a energías renovables y eficiencia energética, especialmente en el sector cleantech. Un informe de MIT Technology Review señala que el 30% de los corporativos está interesado en tecnologías emergentes de sostenibilidad</w:t>
      </w:r>
      <w:r>
        <w:rPr>
          <w:rFonts w:ascii="Times New Roman" w:eastAsia="Times New Roman" w:hAnsi="Times New Roman" w:cs="Times New Roman"/>
          <w:sz w:val="22"/>
          <w:szCs w:val="22"/>
          <w:vertAlign w:val="superscript"/>
        </w:rPr>
        <w:footnoteReference w:id="37"/>
      </w:r>
      <w:r>
        <w:rPr>
          <w:rFonts w:ascii="Times New Roman" w:eastAsia="Times New Roman" w:hAnsi="Times New Roman" w:cs="Times New Roman"/>
          <w:sz w:val="22"/>
          <w:szCs w:val="22"/>
        </w:rPr>
        <w:t>.</w:t>
      </w:r>
    </w:p>
    <w:p w14:paraId="1CE6383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cuanto a retailtech y logtech, Colombia se mantiene en el top 10 de inversiones, con el 5% y 2% del total, respectivamente. Además, el 15% de las corporaciones busca mejorar su servicio utilizando herramientas avanzadas como monitoreo de productos y tecnologías de última milla. Esto según la información recopilada en el informe de Colombia Tech Report 2023-2024</w:t>
      </w:r>
      <w:r>
        <w:rPr>
          <w:rFonts w:ascii="Times New Roman" w:eastAsia="Times New Roman" w:hAnsi="Times New Roman" w:cs="Times New Roman"/>
          <w:sz w:val="22"/>
          <w:szCs w:val="22"/>
          <w:vertAlign w:val="superscript"/>
        </w:rPr>
        <w:footnoteReference w:id="38"/>
      </w:r>
      <w:r>
        <w:rPr>
          <w:rFonts w:ascii="Times New Roman" w:eastAsia="Times New Roman" w:hAnsi="Times New Roman" w:cs="Times New Roman"/>
          <w:sz w:val="22"/>
          <w:szCs w:val="22"/>
        </w:rPr>
        <w:t>.</w:t>
      </w:r>
    </w:p>
    <w:p w14:paraId="1CE63839" w14:textId="77777777" w:rsidR="004D0443" w:rsidRDefault="004D0443">
      <w:pPr>
        <w:spacing w:line="276" w:lineRule="auto"/>
        <w:jc w:val="both"/>
        <w:rPr>
          <w:rFonts w:ascii="Times New Roman" w:eastAsia="Times New Roman" w:hAnsi="Times New Roman" w:cs="Times New Roman"/>
          <w:sz w:val="22"/>
          <w:szCs w:val="22"/>
        </w:rPr>
      </w:pPr>
    </w:p>
    <w:p w14:paraId="1CE6383A"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2.5. El papel de las startups en Bogotá</w:t>
      </w:r>
    </w:p>
    <w:p w14:paraId="1CE6383B" w14:textId="77777777" w:rsidR="004D0443" w:rsidRDefault="004D0443">
      <w:pPr>
        <w:spacing w:line="276" w:lineRule="auto"/>
        <w:jc w:val="both"/>
        <w:rPr>
          <w:rFonts w:ascii="Times New Roman" w:eastAsia="Times New Roman" w:hAnsi="Times New Roman" w:cs="Times New Roman"/>
          <w:b/>
          <w:sz w:val="22"/>
          <w:szCs w:val="22"/>
        </w:rPr>
      </w:pPr>
    </w:p>
    <w:p w14:paraId="1CE6383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Bogotá ha jugado un papel clave en la transformación digital de las empresas emergentes. Según el Programa Entorno, implementado en la capital, se ha logrado apoyar a 592 mipymes en su proceso de innovación y adaptación al mercado digital. Este programa ha proporcionado acompañamiento en áreas como la industria 4.0 y la economía circular, permitiendo a las empresas mejorar su eficiencia y acceder a nuevas oportunidades de negocio (Secretaría Distrital de Desarrollo Económico, 2023)</w:t>
      </w:r>
      <w:r>
        <w:rPr>
          <w:rFonts w:ascii="Times New Roman" w:eastAsia="Times New Roman" w:hAnsi="Times New Roman" w:cs="Times New Roman"/>
          <w:sz w:val="22"/>
          <w:szCs w:val="22"/>
          <w:vertAlign w:val="superscript"/>
        </w:rPr>
        <w:footnoteReference w:id="39"/>
      </w:r>
      <w:r>
        <w:rPr>
          <w:rFonts w:ascii="Times New Roman" w:eastAsia="Times New Roman" w:hAnsi="Times New Roman" w:cs="Times New Roman"/>
          <w:sz w:val="22"/>
          <w:szCs w:val="22"/>
        </w:rPr>
        <w:t>.</w:t>
      </w:r>
    </w:p>
    <w:p w14:paraId="1CE6383D" w14:textId="77777777" w:rsidR="004D0443" w:rsidRDefault="004D0443">
      <w:pPr>
        <w:spacing w:line="276" w:lineRule="auto"/>
        <w:jc w:val="both"/>
        <w:rPr>
          <w:rFonts w:ascii="Times New Roman" w:eastAsia="Times New Roman" w:hAnsi="Times New Roman" w:cs="Times New Roman"/>
          <w:sz w:val="22"/>
          <w:szCs w:val="22"/>
        </w:rPr>
      </w:pPr>
    </w:p>
    <w:p w14:paraId="1CE6383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Iniciativas como estas han contribuido para que en este 2024 Bogotá haya sido reconocida como una de las tres mejores ciudades para el desarrollo de startups en América Latina, superada solo por São Paulo y Ciudad de México. Según el informe de StartupBlink, Bogotá alberga el 59% de las startups de Colombia, consolidándose como el epicentro de innovación en el país. Esta posición se ha logrado gracias a la sólida reserva de talento y el desarrollo de una infraestructura tecnológica que ha permitido la expansión de startups en sectores como PropTech, FinTech y EnergyTech. </w:t>
      </w:r>
    </w:p>
    <w:p w14:paraId="1CE6383F" w14:textId="77777777" w:rsidR="004D0443" w:rsidRDefault="004D0443">
      <w:pPr>
        <w:spacing w:line="276" w:lineRule="auto"/>
        <w:jc w:val="both"/>
        <w:rPr>
          <w:rFonts w:ascii="Times New Roman" w:eastAsia="Times New Roman" w:hAnsi="Times New Roman" w:cs="Times New Roman"/>
          <w:sz w:val="22"/>
          <w:szCs w:val="22"/>
        </w:rPr>
      </w:pPr>
    </w:p>
    <w:p w14:paraId="1CE63840"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 base en la información que se ha expuesto anteriormente en 2024, Bogotá fue reconocida como una de las tres mejores ciudades para el desarrollo de startups en América Latina, después de São Paulo y Ciudad de México. Este éxito ha sido respaldado por la solidez de su infraestructura tecnológica y su reserva de talento, lo que ha permitido a startups expandirse en sectores como FinTech, PropTech y EnergyTech. Además, Bogotá alberga el 59% de las startups colombianas, consolidándose como un epicentro de innovación​</w:t>
      </w:r>
      <w:r>
        <w:rPr>
          <w:rFonts w:ascii="Times New Roman" w:eastAsia="Times New Roman" w:hAnsi="Times New Roman" w:cs="Times New Roman"/>
          <w:sz w:val="22"/>
          <w:szCs w:val="22"/>
          <w:vertAlign w:val="superscript"/>
        </w:rPr>
        <w:footnoteReference w:id="40"/>
      </w:r>
      <w:r>
        <w:rPr>
          <w:rFonts w:ascii="Times New Roman" w:eastAsia="Times New Roman" w:hAnsi="Times New Roman" w:cs="Times New Roman"/>
          <w:sz w:val="22"/>
          <w:szCs w:val="22"/>
        </w:rPr>
        <w:t>.</w:t>
      </w:r>
    </w:p>
    <w:p w14:paraId="1CE63841" w14:textId="77777777" w:rsidR="004D0443" w:rsidRDefault="004D0443">
      <w:pPr>
        <w:spacing w:line="276" w:lineRule="auto"/>
        <w:jc w:val="both"/>
        <w:rPr>
          <w:rFonts w:ascii="Times New Roman" w:eastAsia="Times New Roman" w:hAnsi="Times New Roman" w:cs="Times New Roman"/>
          <w:sz w:val="22"/>
          <w:szCs w:val="22"/>
        </w:rPr>
      </w:pPr>
    </w:p>
    <w:p w14:paraId="1CE63842"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nivel de inversión, las startups en Bogotá han sido clave para captar capital significativo, con 13 de los 20 acuerdos más importantes en Colombia en 2023 concentrados en la ciudad, especialmente en áreas como PropTech y EnergyTech . Esta dinámica refleja la capacidad de Bogotá para atraer capital extranjero y fortalecer su ecosistema empresarial.</w:t>
      </w:r>
    </w:p>
    <w:p w14:paraId="1CE63843" w14:textId="77777777" w:rsidR="004D0443" w:rsidRDefault="004D0443">
      <w:pPr>
        <w:spacing w:line="276" w:lineRule="auto"/>
        <w:jc w:val="both"/>
        <w:rPr>
          <w:rFonts w:ascii="Times New Roman" w:eastAsia="Times New Roman" w:hAnsi="Times New Roman" w:cs="Times New Roman"/>
          <w:sz w:val="22"/>
          <w:szCs w:val="22"/>
        </w:rPr>
      </w:pPr>
    </w:p>
    <w:p w14:paraId="1CE6384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el congreso ANDICOM 2024, celebrado en Cartagena, Bogotá recibió el premio Smart City Innovator Awards en la categoría “Ciudad Pionera”. Este reconocimiento destaca la capacidad de la ciudad para implementar soluciones tecnológicas avanzadas en beneficio de los ciudadanos. Un ejemplo clave fue la implementación del chatbot Chaqitco, que facilitó la interacción ciudadana con la administración y permitió mejorar la gestión pública y el acceso a información clave sobre servicios urbanos (Semana, 2024)​</w:t>
      </w:r>
      <w:r>
        <w:rPr>
          <w:rFonts w:ascii="Times New Roman" w:eastAsia="Times New Roman" w:hAnsi="Times New Roman" w:cs="Times New Roman"/>
          <w:sz w:val="22"/>
          <w:szCs w:val="22"/>
          <w:vertAlign w:val="superscript"/>
        </w:rPr>
        <w:footnoteReference w:id="41"/>
      </w:r>
      <w:r>
        <w:rPr>
          <w:rFonts w:ascii="Times New Roman" w:eastAsia="Times New Roman" w:hAnsi="Times New Roman" w:cs="Times New Roman"/>
          <w:sz w:val="22"/>
          <w:szCs w:val="22"/>
        </w:rPr>
        <w:t>. Estas iniciativas no solo posicionan a Bogotá como una ciudad líder en transformación digital, sino que también refuerzan su capacidad para innovar en favor del crecimiento económico y la inclusión social.</w:t>
      </w:r>
    </w:p>
    <w:p w14:paraId="1CE6384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Bogotá tiene una gran oportunidad, pues según el Ranking 100 Open Startups en Colombia</w:t>
      </w:r>
      <w:r>
        <w:rPr>
          <w:rFonts w:ascii="Times New Roman" w:eastAsia="Times New Roman" w:hAnsi="Times New Roman" w:cs="Times New Roman"/>
          <w:sz w:val="22"/>
          <w:szCs w:val="22"/>
          <w:vertAlign w:val="superscript"/>
        </w:rPr>
        <w:footnoteReference w:id="42"/>
      </w:r>
      <w:r>
        <w:rPr>
          <w:rFonts w:ascii="Times New Roman" w:eastAsia="Times New Roman" w:hAnsi="Times New Roman" w:cs="Times New Roman"/>
          <w:sz w:val="22"/>
          <w:szCs w:val="22"/>
        </w:rPr>
        <w:t xml:space="preserve"> el cual reconoce a las startups más atractivas para el mercado corporativo, así como a los corporativos (medianas y grandes empresas) que más colaboran con startups e impulsan la innovación abierta en el país. Hoy Bogotá es la zona de Colombia con mayor representación de Open Startups con 56.6%, Este ranking mide la evolución de estas interacciones o relaciones con el propósito de contar con un instrumento de análisis objetivo que permita evidenciar el desarrollo y la contribución de esta práctica en la economía nacional. </w:t>
      </w:r>
    </w:p>
    <w:p w14:paraId="1CE63846"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5" wp14:editId="1CE63A06">
            <wp:extent cx="5562600" cy="3067772"/>
            <wp:effectExtent l="0" t="0" r="0" b="0"/>
            <wp:docPr id="13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4"/>
                    <a:srcRect l="782" b="1505"/>
                    <a:stretch>
                      <a:fillRect/>
                    </a:stretch>
                  </pic:blipFill>
                  <pic:spPr>
                    <a:xfrm>
                      <a:off x="0" y="0"/>
                      <a:ext cx="5562600" cy="3067772"/>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5 </w:t>
      </w:r>
      <w:r>
        <w:rPr>
          <w:rFonts w:ascii="Times New Roman" w:eastAsia="Times New Roman" w:hAnsi="Times New Roman" w:cs="Times New Roman"/>
          <w:sz w:val="20"/>
          <w:szCs w:val="20"/>
        </w:rPr>
        <w:t>Distribución Geográfica de las Open Startups Colombianas.</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Top Open Startups, 2024</w:t>
      </w:r>
      <w:r>
        <w:rPr>
          <w:rFonts w:ascii="Times New Roman" w:eastAsia="Times New Roman" w:hAnsi="Times New Roman" w:cs="Times New Roman"/>
          <w:sz w:val="20"/>
          <w:szCs w:val="20"/>
          <w:vertAlign w:val="superscript"/>
        </w:rPr>
        <w:footnoteReference w:id="43"/>
      </w:r>
      <w:r>
        <w:rPr>
          <w:rFonts w:ascii="Times New Roman" w:eastAsia="Times New Roman" w:hAnsi="Times New Roman" w:cs="Times New Roman"/>
          <w:sz w:val="20"/>
          <w:szCs w:val="20"/>
        </w:rPr>
        <w:t>.</w:t>
      </w:r>
    </w:p>
    <w:p w14:paraId="1CE6384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De las startups participantes, el 77% son colombianas, con una fuerte representación en Bogotá D.C., que concentra el 56.6% del total,le siguen Antioquia con el 23.1%, Valle del Cauca con el 5%, Cundinamarca con el 4.5% y Santander con el 3.6%. Además, el 23% de las startups participantes son internacionales, principalmente de México, Brasil y Estados Unidos. Hoy Bogotá tiene una oportunidad para liderar una transformación y un impulso a las Open Startups no solo en el Distrito sino también en todo el país</w:t>
      </w:r>
      <w:r>
        <w:rPr>
          <w:rFonts w:ascii="Times New Roman" w:eastAsia="Times New Roman" w:hAnsi="Times New Roman" w:cs="Times New Roman"/>
          <w:sz w:val="22"/>
          <w:szCs w:val="22"/>
          <w:vertAlign w:val="superscript"/>
        </w:rPr>
        <w:footnoteReference w:id="44"/>
      </w:r>
      <w:r>
        <w:rPr>
          <w:rFonts w:ascii="Times New Roman" w:eastAsia="Times New Roman" w:hAnsi="Times New Roman" w:cs="Times New Roman"/>
          <w:sz w:val="22"/>
          <w:szCs w:val="22"/>
        </w:rPr>
        <w:t xml:space="preserve">. </w:t>
      </w:r>
    </w:p>
    <w:p w14:paraId="1CE63848"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2.6. Diagnóstico del ecosistema emprendedor en Bogotá.</w:t>
      </w:r>
    </w:p>
    <w:p w14:paraId="1CE63849"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noProof/>
          <w:sz w:val="22"/>
          <w:szCs w:val="22"/>
          <w:lang w:val="es-CO"/>
        </w:rPr>
        <w:drawing>
          <wp:inline distT="114300" distB="114300" distL="114300" distR="114300" wp14:anchorId="1CE63A07" wp14:editId="1CE63A08">
            <wp:extent cx="4675688" cy="2635532"/>
            <wp:effectExtent l="0" t="0" r="0" b="0"/>
            <wp:docPr id="142"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5"/>
                    <a:srcRect/>
                    <a:stretch>
                      <a:fillRect/>
                    </a:stretch>
                  </pic:blipFill>
                  <pic:spPr>
                    <a:xfrm>
                      <a:off x="0" y="0"/>
                      <a:ext cx="4675688" cy="2635532"/>
                    </a:xfrm>
                    <a:prstGeom prst="rect">
                      <a:avLst/>
                    </a:prstGeom>
                    <a:ln/>
                  </pic:spPr>
                </pic:pic>
              </a:graphicData>
            </a:graphic>
          </wp:inline>
        </w:drawing>
      </w:r>
      <w:r>
        <w:rPr>
          <w:rFonts w:ascii="Times New Roman" w:eastAsia="Times New Roman" w:hAnsi="Times New Roman" w:cs="Times New Roman"/>
          <w:b/>
          <w:sz w:val="22"/>
          <w:szCs w:val="22"/>
        </w:rPr>
        <w:br/>
      </w:r>
      <w:r>
        <w:rPr>
          <w:rFonts w:ascii="Times New Roman" w:eastAsia="Times New Roman" w:hAnsi="Times New Roman" w:cs="Times New Roman"/>
          <w:b/>
          <w:sz w:val="20"/>
          <w:szCs w:val="20"/>
        </w:rPr>
        <w:t xml:space="preserve">Imagen 6: </w:t>
      </w:r>
      <w:r>
        <w:rPr>
          <w:rFonts w:ascii="Times New Roman" w:eastAsia="Times New Roman" w:hAnsi="Times New Roman" w:cs="Times New Roman"/>
          <w:sz w:val="20"/>
          <w:szCs w:val="20"/>
        </w:rPr>
        <w:t>Lanzamiento SacaleUpBog.</w:t>
      </w:r>
      <w:r>
        <w:rPr>
          <w:rFonts w:ascii="Times New Roman" w:eastAsia="Times New Roman" w:hAnsi="Times New Roman" w:cs="Times New Roman"/>
          <w:b/>
          <w:sz w:val="22"/>
          <w:szCs w:val="22"/>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Invest in Bogotá, 2024</w:t>
      </w:r>
      <w:r>
        <w:rPr>
          <w:rFonts w:ascii="Times New Roman" w:eastAsia="Times New Roman" w:hAnsi="Times New Roman" w:cs="Times New Roman"/>
          <w:sz w:val="20"/>
          <w:szCs w:val="20"/>
          <w:vertAlign w:val="superscript"/>
        </w:rPr>
        <w:footnoteReference w:id="45"/>
      </w:r>
    </w:p>
    <w:p w14:paraId="1CE6384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ecosistema emprendedor en Bogotá ha experimentado un crecimiento significativo en los últimos años, consolidándose como uno de los principales hubs de innovación y emprendimiento en América Latina. Un factor clave en este desarrollo ha sido la plataforma ScaleupBog, relanzada en 2024 durante el Gofest, uno de los festivales de emprendimiento más importantes de la región. ScaleupBog ha sido diseñada para conectar a startups locales con inversionistas, facilitando el acceso a recursos, mentorías, y programas especializados que les permiten escalar y expandirse hacia mercados internacionales (Invest in Bogotá, 2024)​</w:t>
      </w:r>
      <w:r>
        <w:rPr>
          <w:rFonts w:ascii="Times New Roman" w:eastAsia="Times New Roman" w:hAnsi="Times New Roman" w:cs="Times New Roman"/>
          <w:sz w:val="22"/>
          <w:szCs w:val="22"/>
          <w:vertAlign w:val="superscript"/>
        </w:rPr>
        <w:footnoteReference w:id="46"/>
      </w:r>
      <w:r>
        <w:rPr>
          <w:rFonts w:ascii="Times New Roman" w:eastAsia="Times New Roman" w:hAnsi="Times New Roman" w:cs="Times New Roman"/>
          <w:sz w:val="22"/>
          <w:szCs w:val="22"/>
        </w:rPr>
        <w:t>.</w:t>
      </w:r>
    </w:p>
    <w:p w14:paraId="1CE6384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plataforma, que ha tenido un crecimiento del 250% en conexiones y acuerdos valorados en 300 millones de euros, ofrece herramientas como el acceso gratuito a Finnovating, una red global basada en inteligencia artificial que conecta a emprendedores, corporaciones e inversionistas. Esta red facilita acuerdos estratégicos y ayuda a las startups de base tecnológica y rápido crecimiento a consolidar su posición en el mercado. Esto ha permitido a Bogotá no solo atraer capital de riesgo, sino también fortalecer su papel como epicentro para startups de sectores clave como fintech, proptech, y healthtech (Invest in Bogotá, 2024)</w:t>
      </w:r>
      <w:r>
        <w:rPr>
          <w:rFonts w:ascii="Times New Roman" w:eastAsia="Times New Roman" w:hAnsi="Times New Roman" w:cs="Times New Roman"/>
          <w:sz w:val="22"/>
          <w:szCs w:val="22"/>
          <w:vertAlign w:val="superscript"/>
        </w:rPr>
        <w:footnoteReference w:id="47"/>
      </w:r>
      <w:r>
        <w:rPr>
          <w:rFonts w:ascii="Times New Roman" w:eastAsia="Times New Roman" w:hAnsi="Times New Roman" w:cs="Times New Roman"/>
          <w:sz w:val="22"/>
          <w:szCs w:val="22"/>
        </w:rPr>
        <w:t>​.</w:t>
      </w:r>
    </w:p>
    <w:p w14:paraId="1CE6384C"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9" wp14:editId="1CE63A0A">
            <wp:extent cx="5612400" cy="3378200"/>
            <wp:effectExtent l="0" t="0" r="0" b="0"/>
            <wp:docPr id="1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5612400" cy="337820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7: </w:t>
      </w:r>
      <w:r>
        <w:rPr>
          <w:rFonts w:ascii="Times New Roman" w:eastAsia="Times New Roman" w:hAnsi="Times New Roman" w:cs="Times New Roman"/>
          <w:sz w:val="20"/>
          <w:szCs w:val="20"/>
        </w:rPr>
        <w:t>Contexto de Startups en Bogotá.</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ScaleUpBog, 2024</w:t>
      </w:r>
      <w:r>
        <w:rPr>
          <w:rFonts w:ascii="Times New Roman" w:eastAsia="Times New Roman" w:hAnsi="Times New Roman" w:cs="Times New Roman"/>
          <w:sz w:val="20"/>
          <w:szCs w:val="20"/>
          <w:vertAlign w:val="superscript"/>
        </w:rPr>
        <w:footnoteReference w:id="48"/>
      </w:r>
      <w:r>
        <w:rPr>
          <w:rFonts w:ascii="Times New Roman" w:eastAsia="Times New Roman" w:hAnsi="Times New Roman" w:cs="Times New Roman"/>
          <w:sz w:val="20"/>
          <w:szCs w:val="20"/>
        </w:rPr>
        <w:t>.</w:t>
      </w:r>
    </w:p>
    <w:p w14:paraId="1CE6384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 base en esa información sobre el ecosistema de startups en Colombia, se destaca que en Bogotá hay 949 startups, las cualesconstituyen el 50% del total de empresas emergentes. Esto señala la concentración significativa de actividad emprendedora en Colombia y la importancia de Bogotá, que es conocida como un hub importante para este tipo de empresas.</w:t>
      </w:r>
    </w:p>
    <w:p w14:paraId="1CE6384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Se destaca que el subsector de fintech fue el más fuerte, al recaudar USD 236 millones a través de más de 39 rondas de financiamiento. Esto refleja una alta actividad e interés en tecnologías financieras en Colombia. </w:t>
      </w:r>
    </w:p>
    <w:p w14:paraId="1CE6384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lo que respecta a proptech, sector relacionado con la propiedad y la tecnología, se resalta que ha recaudado USD 160 millones en más de 7 rondas, lo que indica un creciente interés y desarrollo en soluciones tecnológicas para el mercado inmobiliario. </w:t>
      </w:r>
    </w:p>
    <w:p w14:paraId="1CE6385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Por su parte, foodtech,aunque más pequeño en comparación, ha recaudado USD 23 millones en más de 4 rondas, mostrando la innovación en la industria alimentaria mediante el uso de tecnología. </w:t>
      </w:r>
    </w:p>
    <w:p w14:paraId="1CE63851"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se resalta que Bogotá es el hogar de dos unicornios reconocidos a nivel mundial: Rappi y Habi. Rappi es ampliamente conocido por su plataforma de entrega que ha expandido servicios a varias vertientes, mientras que Habi se ha destacado en el sector inmobiliario, facilitando procesos de compra, venta y valoración de propiedades mediante tecnología.</w:t>
      </w:r>
    </w:p>
    <w:p w14:paraId="1CE63852"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B" wp14:editId="1CE63A0C">
            <wp:extent cx="4306388" cy="4130915"/>
            <wp:effectExtent l="0" t="0" r="0" b="0"/>
            <wp:docPr id="14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7"/>
                    <a:srcRect/>
                    <a:stretch>
                      <a:fillRect/>
                    </a:stretch>
                  </pic:blipFill>
                  <pic:spPr>
                    <a:xfrm>
                      <a:off x="0" y="0"/>
                      <a:ext cx="4306388" cy="4130915"/>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8: </w:t>
      </w:r>
      <w:r>
        <w:rPr>
          <w:rFonts w:ascii="Times New Roman" w:eastAsia="Times New Roman" w:hAnsi="Times New Roman" w:cs="Times New Roman"/>
          <w:sz w:val="20"/>
          <w:szCs w:val="20"/>
        </w:rPr>
        <w:t>Contexto sobre el ecosistema de emprendimiento en Bogotá.</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ScaleUpBog, 2024</w:t>
      </w:r>
      <w:r>
        <w:rPr>
          <w:rFonts w:ascii="Times New Roman" w:eastAsia="Times New Roman" w:hAnsi="Times New Roman" w:cs="Times New Roman"/>
          <w:sz w:val="20"/>
          <w:szCs w:val="20"/>
          <w:vertAlign w:val="superscript"/>
        </w:rPr>
        <w:footnoteReference w:id="49"/>
      </w:r>
      <w:r>
        <w:rPr>
          <w:rFonts w:ascii="Times New Roman" w:eastAsia="Times New Roman" w:hAnsi="Times New Roman" w:cs="Times New Roman"/>
          <w:sz w:val="20"/>
          <w:szCs w:val="20"/>
        </w:rPr>
        <w:t>.</w:t>
      </w:r>
    </w:p>
    <w:p w14:paraId="1CE63853"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ecosistema emprendedor de Bogotá se clasifica como el número uno en Colombia, el segundo en América del Sur, y el tercero en toda Latinoamérica, según StartupBlink, evidenciando su importancia como centro de innovación y emprendimiento. La imagen 4 subraya la infraestructura de soporte con numerosas aceleradoras, incubadoras, gremios y asociaciones, junto con entidades de gobierno y centros de emprendimiento que colaboran para fortalecer este ecosistema. Además, resalta la existencia de varios vehículos de inversión que se enfocan en startups locales, impulsando así el crecimiento y desarrollo de las 949 startups bogotanas. . Esto demuestra el papel vital de Bogotá en fomentar un ambiente propicio para la creación y escalabilidad de startups innovadoras dentro del país y en el contexto latinoamericano.</w:t>
      </w:r>
    </w:p>
    <w:p w14:paraId="1CE6385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2.7. Crecimiento y relevancia de las startups juveniles.</w:t>
      </w:r>
    </w:p>
    <w:p w14:paraId="1CE63855" w14:textId="77777777" w:rsidR="004D0443" w:rsidRDefault="004D0443">
      <w:pPr>
        <w:spacing w:line="276" w:lineRule="auto"/>
        <w:jc w:val="both"/>
        <w:rPr>
          <w:rFonts w:ascii="Times New Roman" w:eastAsia="Times New Roman" w:hAnsi="Times New Roman" w:cs="Times New Roman"/>
          <w:b/>
          <w:sz w:val="22"/>
          <w:szCs w:val="22"/>
        </w:rPr>
      </w:pPr>
    </w:p>
    <w:p w14:paraId="1CE6385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crecimiento de las startups juveniles ha sido un fenómeno relevante en los últimos años, impulsado por la creciente accesibilidad a la tecnología, el espíritu emprendedor de los jóvenes y el análisis de datos. Según el análisis de la Universidad de los Andes, el uso adecuado de datos se ha convertido en un factor clave para el desarrollo exitoso de estas empresas emergentes, permitiéndoles tomar decisiones informadas, mejorar la eficiencia operativa y anticipar tendencias del mercado. Las startups juveniles, aquellas fundadas y dirigidas por jóvenes emprendedores, se caracterizan por su capacidad para innovar y adaptarse rápidamente a un entorno cambiante. Estas empresas suelen operar en sectores emergentes como la tecnología financiera, el comercio electrónico, la inteligencia artificial y las energías renovables, que demandan soluciones ágiles y disruptivas. El acceso a herramientas avanzadas de análisis de datos ha permitido a estas startups identificar nichos de mercado, optimizar sus operaciones y ajustar sus modelos de negocio de manera efectiva, lo que les brinda una ventaja competitiva en sus primeros años de desarrollo (Universidad de los Andes, 2023)</w:t>
      </w:r>
      <w:r>
        <w:rPr>
          <w:rFonts w:ascii="Times New Roman" w:eastAsia="Times New Roman" w:hAnsi="Times New Roman" w:cs="Times New Roman"/>
          <w:sz w:val="22"/>
          <w:szCs w:val="22"/>
          <w:vertAlign w:val="superscript"/>
        </w:rPr>
        <w:footnoteReference w:id="50"/>
      </w:r>
      <w:r>
        <w:rPr>
          <w:rFonts w:ascii="Times New Roman" w:eastAsia="Times New Roman" w:hAnsi="Times New Roman" w:cs="Times New Roman"/>
          <w:sz w:val="22"/>
          <w:szCs w:val="22"/>
        </w:rPr>
        <w:t>.</w:t>
      </w:r>
    </w:p>
    <w:p w14:paraId="1CE63857" w14:textId="77777777" w:rsidR="004D0443" w:rsidRDefault="004D0443">
      <w:pPr>
        <w:spacing w:line="276" w:lineRule="auto"/>
        <w:jc w:val="both"/>
        <w:rPr>
          <w:rFonts w:ascii="Times New Roman" w:eastAsia="Times New Roman" w:hAnsi="Times New Roman" w:cs="Times New Roman"/>
          <w:sz w:val="22"/>
          <w:szCs w:val="22"/>
        </w:rPr>
      </w:pPr>
    </w:p>
    <w:p w14:paraId="1CE6385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Cabe destacar que, la Universidad de los Andes se ha destacado por su contribución al ecosistema de startups en la región. Egresados de la Facultad de Ingeniería, en particular, del Departamento de Ingeniería Industrial se han convertido en líderes innovadores y fundadores de algunas de las startups más exitosas en América Latina. Sus historias de éxito son inspiradoras y ejemplifican cómo la educación y la formación de calidad pueden impulsar la creación de empresas exitosas. </w:t>
      </w:r>
    </w:p>
    <w:p w14:paraId="1CE63859" w14:textId="77777777" w:rsidR="004D0443" w:rsidRDefault="004D0443">
      <w:pPr>
        <w:spacing w:line="276" w:lineRule="auto"/>
        <w:jc w:val="both"/>
        <w:rPr>
          <w:rFonts w:ascii="Times New Roman" w:eastAsia="Times New Roman" w:hAnsi="Times New Roman" w:cs="Times New Roman"/>
          <w:sz w:val="22"/>
          <w:szCs w:val="22"/>
        </w:rPr>
      </w:pPr>
    </w:p>
    <w:p w14:paraId="1CE6385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Entre empresas fundadas por egresados de Ingeniería Industrial de esta universidad se encuentran: Rappi, Habi, PuntoRed, Ubits, Merqueo, Castia, Kravata, SEOS, Golazzos, y muchas otras que han atraído capital de inversión y resuelto  necesidades de los latinoamericanos en múltiples sectores. Y son estas empresas que comienzan como startups las que demuestran un efecto positivo en su formación las cuales se expondrán a continuación: </w:t>
      </w:r>
    </w:p>
    <w:p w14:paraId="1CE6385B" w14:textId="77777777" w:rsidR="004D0443" w:rsidRDefault="004D0443">
      <w:pPr>
        <w:spacing w:line="276" w:lineRule="auto"/>
        <w:jc w:val="both"/>
        <w:rPr>
          <w:rFonts w:ascii="Times New Roman" w:eastAsia="Times New Roman" w:hAnsi="Times New Roman" w:cs="Times New Roman"/>
          <w:sz w:val="22"/>
          <w:szCs w:val="22"/>
        </w:rPr>
      </w:pPr>
    </w:p>
    <w:p w14:paraId="1CE6385C"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Rappi: </w:t>
      </w:r>
      <w:r>
        <w:rPr>
          <w:rFonts w:ascii="Times New Roman" w:eastAsia="Times New Roman" w:hAnsi="Times New Roman" w:cs="Times New Roman"/>
          <w:sz w:val="22"/>
          <w:szCs w:val="22"/>
        </w:rPr>
        <w:t>Es, sin duda, el mayor éxito en el ecosistema de startups colombiano y un referente para la región. Desde su fundación en 2015 por Simón Borrero, ha crecido exponencialmente, convirtiéndose en el primer unicornio colombiano en 2018. Actualmente, su valoración supera los 5.2 mil millones de dólares, lo que refleja la magnitud de su impacto. No solo está presente en más de 250 ciudades de América Latina, sino que también ha diversificado sus operaciones más allá del delivery, adentrándose en el mundo de los servicios financieros con RappiBank y RappiPay, ofreciendo productos como la RappiCard en colaboración con Visa, que ya cuenta con más de 230,000 usuarios solo en Colombia (Cohen, 2024)</w:t>
      </w:r>
      <w:r>
        <w:rPr>
          <w:rFonts w:ascii="Times New Roman" w:eastAsia="Times New Roman" w:hAnsi="Times New Roman" w:cs="Times New Roman"/>
          <w:sz w:val="22"/>
          <w:szCs w:val="22"/>
          <w:vertAlign w:val="superscript"/>
        </w:rPr>
        <w:footnoteReference w:id="51"/>
      </w:r>
      <w:r>
        <w:rPr>
          <w:rFonts w:ascii="Times New Roman" w:eastAsia="Times New Roman" w:hAnsi="Times New Roman" w:cs="Times New Roman"/>
          <w:sz w:val="22"/>
          <w:szCs w:val="22"/>
        </w:rPr>
        <w:t>.</w:t>
      </w:r>
    </w:p>
    <w:p w14:paraId="1CE6385D" w14:textId="77777777" w:rsidR="004D0443" w:rsidRDefault="004D0443">
      <w:pPr>
        <w:spacing w:line="276" w:lineRule="auto"/>
        <w:ind w:left="720"/>
        <w:jc w:val="both"/>
        <w:rPr>
          <w:rFonts w:ascii="Times New Roman" w:eastAsia="Times New Roman" w:hAnsi="Times New Roman" w:cs="Times New Roman"/>
          <w:sz w:val="22"/>
          <w:szCs w:val="22"/>
        </w:rPr>
      </w:pPr>
    </w:p>
    <w:p w14:paraId="1CE6385E"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Habi: </w:t>
      </w:r>
      <w:r>
        <w:rPr>
          <w:rFonts w:ascii="Times New Roman" w:eastAsia="Times New Roman" w:hAnsi="Times New Roman" w:cs="Times New Roman"/>
          <w:sz w:val="22"/>
          <w:szCs w:val="22"/>
        </w:rPr>
        <w:t>Esta proptech alcanzó el estatus de unicornio en 2022, después de levantar 200 millones de dólares en una ronda de financiación liderada por SoftBank y otros inversores. Actualmente, opera en más de 15 ciudades de Colombia y México, revolucionando el mercado inmobiliario con procesos de venta y compra de viviendas en tiempos récord. Fundada en 2019 por Sebastián Noguera y Brynne McNulty, Habi es una proptech que se ha consolidado como la segunda startup colombiana en alcanzar el estatus de unicornio en 2022, con una valoración superior a los 1,000 millones de dólares. La empresa tiene un enfoque innovador al digitalizar el proceso de compra y venta de propiedades en Colombia y México, reduciendo el tiempo de transacción de meses a solo 10 días​ (Fernández, 2022)</w:t>
      </w:r>
      <w:r>
        <w:rPr>
          <w:rFonts w:ascii="Times New Roman" w:eastAsia="Times New Roman" w:hAnsi="Times New Roman" w:cs="Times New Roman"/>
          <w:sz w:val="22"/>
          <w:szCs w:val="22"/>
          <w:vertAlign w:val="superscript"/>
        </w:rPr>
        <w:footnoteReference w:id="52"/>
      </w:r>
      <w:r>
        <w:rPr>
          <w:rFonts w:ascii="Times New Roman" w:eastAsia="Times New Roman" w:hAnsi="Times New Roman" w:cs="Times New Roman"/>
          <w:sz w:val="22"/>
          <w:szCs w:val="22"/>
        </w:rPr>
        <w:t>.</w:t>
      </w:r>
    </w:p>
    <w:p w14:paraId="1CE6385F" w14:textId="77777777" w:rsidR="004D0443" w:rsidRDefault="004D0443">
      <w:pPr>
        <w:spacing w:line="276" w:lineRule="auto"/>
        <w:ind w:left="720"/>
        <w:jc w:val="both"/>
        <w:rPr>
          <w:rFonts w:ascii="Times New Roman" w:eastAsia="Times New Roman" w:hAnsi="Times New Roman" w:cs="Times New Roman"/>
          <w:sz w:val="22"/>
          <w:szCs w:val="22"/>
        </w:rPr>
      </w:pPr>
    </w:p>
    <w:p w14:paraId="1CE63860"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Merqueo: </w:t>
      </w:r>
      <w:r>
        <w:rPr>
          <w:rFonts w:ascii="Times New Roman" w:eastAsia="Times New Roman" w:hAnsi="Times New Roman" w:cs="Times New Roman"/>
          <w:sz w:val="22"/>
          <w:szCs w:val="22"/>
        </w:rPr>
        <w:t>Fundada en 2017. Es otra startup colombiana con gran impacto en el mercado digital. Su modelo de negocio, que abarca desde el aprovisionamiento hasta la entrega, le permite ofrecer productos directamente desde los fabricantes, reduciendo intermediarios y optimizando costos. En 2022, Merqueo completó una serie C de financiación, levantando 50 millones de dólares, lo que le permitió expandir su presencia a México, uno de los mercados más grandes de la región ​(IDB Invest, 2021)</w:t>
      </w:r>
      <w:r>
        <w:rPr>
          <w:rFonts w:ascii="Times New Roman" w:eastAsia="Times New Roman" w:hAnsi="Times New Roman" w:cs="Times New Roman"/>
          <w:sz w:val="22"/>
          <w:szCs w:val="22"/>
          <w:vertAlign w:val="superscript"/>
        </w:rPr>
        <w:footnoteReference w:id="53"/>
      </w:r>
      <w:r>
        <w:rPr>
          <w:rFonts w:ascii="Times New Roman" w:eastAsia="Times New Roman" w:hAnsi="Times New Roman" w:cs="Times New Roman"/>
          <w:sz w:val="22"/>
          <w:szCs w:val="22"/>
        </w:rPr>
        <w:t>.</w:t>
      </w:r>
    </w:p>
    <w:p w14:paraId="1CE63861" w14:textId="77777777" w:rsidR="004D0443" w:rsidRDefault="004D0443">
      <w:pPr>
        <w:spacing w:line="276" w:lineRule="auto"/>
        <w:ind w:left="720"/>
        <w:jc w:val="both"/>
        <w:rPr>
          <w:rFonts w:ascii="Times New Roman" w:eastAsia="Times New Roman" w:hAnsi="Times New Roman" w:cs="Times New Roman"/>
          <w:sz w:val="22"/>
          <w:szCs w:val="22"/>
        </w:rPr>
      </w:pPr>
    </w:p>
    <w:p w14:paraId="1CE63862"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Ubits:</w:t>
      </w:r>
      <w:r>
        <w:rPr>
          <w:rFonts w:ascii="Times New Roman" w:eastAsia="Times New Roman" w:hAnsi="Times New Roman" w:cs="Times New Roman"/>
          <w:sz w:val="22"/>
          <w:szCs w:val="22"/>
        </w:rPr>
        <w:t xml:space="preserve"> Esta startup de edtech ha sido clave en la transformación de la educación empresarial en América Latina. Ofrece soluciones de capacitación en línea para empresas y ha expandido su presencia internacional con apoyo de inversiones clave (Tincello, 2022)</w:t>
      </w:r>
      <w:r>
        <w:rPr>
          <w:rFonts w:ascii="Times New Roman" w:eastAsia="Times New Roman" w:hAnsi="Times New Roman" w:cs="Times New Roman"/>
          <w:sz w:val="22"/>
          <w:szCs w:val="22"/>
          <w:vertAlign w:val="superscript"/>
        </w:rPr>
        <w:footnoteReference w:id="54"/>
      </w:r>
      <w:r>
        <w:rPr>
          <w:rFonts w:ascii="Times New Roman" w:eastAsia="Times New Roman" w:hAnsi="Times New Roman" w:cs="Times New Roman"/>
          <w:sz w:val="22"/>
          <w:szCs w:val="22"/>
        </w:rPr>
        <w:t>.</w:t>
      </w:r>
    </w:p>
    <w:p w14:paraId="1CE63863" w14:textId="77777777" w:rsidR="004D0443" w:rsidRDefault="004D0443">
      <w:pPr>
        <w:spacing w:line="276" w:lineRule="auto"/>
        <w:jc w:val="center"/>
        <w:rPr>
          <w:rFonts w:ascii="Times New Roman" w:eastAsia="Times New Roman" w:hAnsi="Times New Roman" w:cs="Times New Roman"/>
          <w:sz w:val="22"/>
          <w:szCs w:val="22"/>
        </w:rPr>
      </w:pPr>
    </w:p>
    <w:tbl>
      <w:tblPr>
        <w:tblStyle w:val="aff"/>
        <w:tblW w:w="91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50"/>
        <w:gridCol w:w="5685"/>
        <w:gridCol w:w="1470"/>
      </w:tblGrid>
      <w:tr w:rsidR="004D0443" w14:paraId="1CE63867" w14:textId="77777777">
        <w:trPr>
          <w:trHeight w:val="315"/>
        </w:trPr>
        <w:tc>
          <w:tcPr>
            <w:tcW w:w="1950"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Empresa</w:t>
            </w:r>
          </w:p>
        </w:tc>
        <w:tc>
          <w:tcPr>
            <w:tcW w:w="5685"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CEO/Fundadores</w:t>
            </w:r>
          </w:p>
        </w:tc>
        <w:tc>
          <w:tcPr>
            <w:tcW w:w="1470"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Sector</w:t>
            </w:r>
          </w:p>
        </w:tc>
      </w:tr>
      <w:tr w:rsidR="004D0443" w14:paraId="1CE6386B"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Rappi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Simón Borrero, Fundadores: Simón Borrero, Sebastián Mejía, Felipe Villamarín</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 / Fintech</w:t>
            </w:r>
          </w:p>
        </w:tc>
      </w:tr>
      <w:tr w:rsidR="004D0443" w14:paraId="1CE6386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Habi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Brynne McNulty Rojas, Fundadores: Brynne McNulty Rojas, Sebastián Noguera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Proptech</w:t>
            </w:r>
          </w:p>
        </w:tc>
      </w:tr>
      <w:tr w:rsidR="004D0443" w14:paraId="1CE63873"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La Haus</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Presidente: Rodrigo Sánchez-Ríos, Fundadores: Jerónimo Uribe, Rodrigo Sánchez-Ríos, Santiago García, Tomás Uribe</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Proptech</w:t>
            </w:r>
          </w:p>
        </w:tc>
      </w:tr>
      <w:tr w:rsidR="004D0443" w14:paraId="1CE63877"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Frubana</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y Fundador: Fabián Gómez Gutiérrez</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r w:rsidR="004D0443" w14:paraId="1CE6387B"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Bold</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Vélez, Fundadores: José Fernando Vélez, Ana Sandoval, Enrique Ramírez, Sergio Vergara, Jorge Ulloa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Fintech</w:t>
            </w:r>
          </w:p>
        </w:tc>
      </w:tr>
      <w:tr w:rsidR="004D0443" w14:paraId="1CE6387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Platzi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Freddy Vega, Fundadores: Freddy Vega, Christian Van Der Henst</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Edtech</w:t>
            </w:r>
          </w:p>
        </w:tc>
      </w:tr>
      <w:tr w:rsidR="004D0443" w14:paraId="1CE63883"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Addi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Santiago Suárez, Fundadores: Santiago Suárez, Daniel Vallejo, Elmer Ortega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Fintech</w:t>
            </w:r>
          </w:p>
        </w:tc>
      </w:tr>
      <w:tr w:rsidR="004D0443" w14:paraId="1CE63887"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Chiper</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Jair Bonilla, Fundadores: José Jair Bonilla, Óscar Sarria, Carolina García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r w:rsidR="004D0443" w14:paraId="1CE6388B"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Robinfood</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Guillermo Calderón, Fundadores: José Guillermo Calderón, Miguel McAllister, Andrés Jaramillo</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Alimentos</w:t>
            </w:r>
          </w:p>
        </w:tc>
      </w:tr>
      <w:tr w:rsidR="004D0443" w14:paraId="1CE6388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Laika</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Fundadores: Camilo Sánchez, Manuela Sánchez, Tulio Jiménez, Andrea González</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bl>
    <w:p w14:paraId="1CE63890"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Tabla 2: </w:t>
      </w:r>
      <w:r>
        <w:rPr>
          <w:rFonts w:ascii="Times New Roman" w:eastAsia="Times New Roman" w:hAnsi="Times New Roman" w:cs="Times New Roman"/>
          <w:sz w:val="20"/>
          <w:szCs w:val="20"/>
        </w:rPr>
        <w:t>Startups creadas en Colombia a 2023.</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Forbes, 2023</w:t>
      </w:r>
      <w:r>
        <w:rPr>
          <w:rFonts w:ascii="Times New Roman" w:eastAsia="Times New Roman" w:hAnsi="Times New Roman" w:cs="Times New Roman"/>
          <w:sz w:val="20"/>
          <w:szCs w:val="20"/>
          <w:vertAlign w:val="superscript"/>
        </w:rPr>
        <w:footnoteReference w:id="55"/>
      </w:r>
    </w:p>
    <w:p w14:paraId="1CE63891" w14:textId="77777777" w:rsidR="004D0443" w:rsidRDefault="004D0443">
      <w:pPr>
        <w:spacing w:line="276" w:lineRule="auto"/>
        <w:jc w:val="center"/>
        <w:rPr>
          <w:rFonts w:ascii="Times New Roman" w:eastAsia="Times New Roman" w:hAnsi="Times New Roman" w:cs="Times New Roman"/>
          <w:sz w:val="22"/>
          <w:szCs w:val="22"/>
        </w:rPr>
      </w:pPr>
    </w:p>
    <w:p w14:paraId="1CE63892"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Aunque startups como Castia, Kravata, SEOS y Golazzos aún no han alcanzado la notoriedad de gigantes como Rappi o Habi, su crecimiento en sectores especializados los posiciona como actores clave en el ecosistema de startups en Colombia. Castia, por ejemplo, está revolucionando el sector de la vivienda asequible con su enfoque en tecnología modular. Esta tecnología permite una construcción rápida y eficiente de viviendas, lo que la convierte en una solución prometedora frente al déficit habitacional en la región. La innovación de Castia radica en su capacidad para reducir costos y tiempos de construcción, lo que la hace competitiva frente a otros modelos tradicionales de construcción​. (Contxto, 2024)</w:t>
      </w:r>
      <w:r>
        <w:rPr>
          <w:rFonts w:ascii="Times New Roman" w:eastAsia="Times New Roman" w:hAnsi="Times New Roman" w:cs="Times New Roman"/>
          <w:sz w:val="22"/>
          <w:szCs w:val="22"/>
          <w:vertAlign w:val="superscript"/>
        </w:rPr>
        <w:footnoteReference w:id="56"/>
      </w:r>
      <w:r>
        <w:rPr>
          <w:rFonts w:ascii="Times New Roman" w:eastAsia="Times New Roman" w:hAnsi="Times New Roman" w:cs="Times New Roman"/>
          <w:sz w:val="22"/>
          <w:szCs w:val="22"/>
        </w:rPr>
        <w:t>.</w:t>
      </w:r>
    </w:p>
    <w:p w14:paraId="1CE63893" w14:textId="77777777" w:rsidR="004D0443" w:rsidRDefault="004D0443">
      <w:pPr>
        <w:spacing w:line="276" w:lineRule="auto"/>
        <w:jc w:val="both"/>
        <w:rPr>
          <w:rFonts w:ascii="Times New Roman" w:eastAsia="Times New Roman" w:hAnsi="Times New Roman" w:cs="Times New Roman"/>
          <w:sz w:val="22"/>
          <w:szCs w:val="22"/>
        </w:rPr>
      </w:pPr>
    </w:p>
    <w:p w14:paraId="1CE6389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Kravata y SEOS, por su parte, están impulsando la transformación en los sectores de tecnología y servicios financieros. Kravata se especializa en soluciones tecnológicas avanzadas para empresas, mientras que SEOS ofrece servicios financieros digitales que buscan democratizar el acceso al financiamiento en mercados emergentes, facilitando soluciones fintech a empresas y particulares que anteriormente carecían de acceso a estos servicios​ (Contxto, 2024)</w:t>
      </w:r>
      <w:r>
        <w:rPr>
          <w:rFonts w:ascii="Times New Roman" w:eastAsia="Times New Roman" w:hAnsi="Times New Roman" w:cs="Times New Roman"/>
          <w:sz w:val="22"/>
          <w:szCs w:val="22"/>
          <w:vertAlign w:val="superscript"/>
        </w:rPr>
        <w:footnoteReference w:id="57"/>
      </w:r>
      <w:r>
        <w:rPr>
          <w:rFonts w:ascii="Times New Roman" w:eastAsia="Times New Roman" w:hAnsi="Times New Roman" w:cs="Times New Roman"/>
          <w:sz w:val="22"/>
          <w:szCs w:val="22"/>
        </w:rPr>
        <w:t>.</w:t>
      </w:r>
    </w:p>
    <w:p w14:paraId="1CE63895"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2.8. Importancia del sector fintech</w:t>
      </w:r>
    </w:p>
    <w:p w14:paraId="1CE6389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se ha evidenciado en los párrafos anteriores, algo que ocupa una gran relevancia como sector o nicho a la hora de crear una startup es el sector fintech.Para ello, es necesario comprender el término Fintech.</w:t>
      </w:r>
    </w:p>
    <w:p w14:paraId="1CE6389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 le conoce como fintech a las industrias que usan la tecnología para brindar servicios financieros de calidad. El término proviene de la unión de las palabras tecnología y finanzas (Métricas, 2023)</w:t>
      </w:r>
      <w:r>
        <w:rPr>
          <w:rFonts w:ascii="Times New Roman" w:eastAsia="Times New Roman" w:hAnsi="Times New Roman" w:cs="Times New Roman"/>
          <w:sz w:val="22"/>
          <w:szCs w:val="22"/>
          <w:vertAlign w:val="superscript"/>
        </w:rPr>
        <w:footnoteReference w:id="58"/>
      </w:r>
      <w:r>
        <w:rPr>
          <w:rFonts w:ascii="Times New Roman" w:eastAsia="Times New Roman" w:hAnsi="Times New Roman" w:cs="Times New Roman"/>
          <w:sz w:val="22"/>
          <w:szCs w:val="22"/>
        </w:rPr>
        <w:t xml:space="preserve">. En la práctica este tipo de servicios se ha visto reflejado en los medios de pago, infraestructura de servicios financieros, apis bancarias, créditos por medio de plataformas electrónicas, soluciones financieras, finanzas personales, mercados financieras, crowdfunding, insurtech, criptomonedas y entidades financieras disruptivas.  </w:t>
      </w:r>
    </w:p>
    <w:p w14:paraId="1CE6389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Este tipo de empresas están creciendo de forma exponencial. Hasta el 2021 el número de empresas fintech en América Latina era de 2,482. Es decir, del 2018 al 2021 el sector fintech tuvo un crecimiento del 112 % en América Latina de acuerdo con información del Banco Interamericano de Desarrollo (BID). En el caso colombiano el desarrollo exponencial del sector fintech llegó a su pico más alto, hasta el momento, en el año que termina (2022). Según datos de Colombia Fintech, entre 2020 y 2021, las instalaciones de fintech y la descarga de apps crecieron en un 80% (Colombia Fintech, 2022)</w:t>
      </w:r>
      <w:r>
        <w:rPr>
          <w:rFonts w:ascii="Times New Roman" w:eastAsia="Times New Roman" w:hAnsi="Times New Roman" w:cs="Times New Roman"/>
          <w:sz w:val="22"/>
          <w:szCs w:val="22"/>
          <w:vertAlign w:val="superscript"/>
        </w:rPr>
        <w:footnoteReference w:id="59"/>
      </w:r>
      <w:r>
        <w:rPr>
          <w:rFonts w:ascii="Times New Roman" w:eastAsia="Times New Roman" w:hAnsi="Times New Roman" w:cs="Times New Roman"/>
          <w:sz w:val="22"/>
          <w:szCs w:val="22"/>
        </w:rPr>
        <w:t>.</w:t>
      </w:r>
    </w:p>
    <w:p w14:paraId="1CE63899" w14:textId="77777777" w:rsidR="004D0443" w:rsidRDefault="00DA3067">
      <w:pPr>
        <w:spacing w:before="240" w:after="240" w:line="276" w:lineRule="auto"/>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CE63A0D" wp14:editId="1CE63A0E">
            <wp:extent cx="5468438" cy="5089671"/>
            <wp:effectExtent l="0" t="0" r="0" b="0"/>
            <wp:docPr id="14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8"/>
                    <a:srcRect/>
                    <a:stretch>
                      <a:fillRect/>
                    </a:stretch>
                  </pic:blipFill>
                  <pic:spPr>
                    <a:xfrm>
                      <a:off x="0" y="0"/>
                      <a:ext cx="5468438" cy="5089671"/>
                    </a:xfrm>
                    <a:prstGeom prst="rect">
                      <a:avLst/>
                    </a:prstGeom>
                    <a:ln/>
                  </pic:spPr>
                </pic:pic>
              </a:graphicData>
            </a:graphic>
          </wp:inline>
        </w:drawing>
      </w:r>
    </w:p>
    <w:p w14:paraId="1CE6389A"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Imagen 9: </w:t>
      </w:r>
      <w:r>
        <w:rPr>
          <w:rFonts w:ascii="Times New Roman" w:eastAsia="Times New Roman" w:hAnsi="Times New Roman" w:cs="Times New Roman"/>
          <w:sz w:val="20"/>
          <w:szCs w:val="20"/>
        </w:rPr>
        <w:t>Principales países con ecosistemas Fintech en Latinoamérica.</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Deloitte Colombia, 2023</w:t>
      </w:r>
      <w:r>
        <w:rPr>
          <w:rFonts w:ascii="Times New Roman" w:eastAsia="Times New Roman" w:hAnsi="Times New Roman" w:cs="Times New Roman"/>
          <w:sz w:val="20"/>
          <w:szCs w:val="20"/>
          <w:vertAlign w:val="superscript"/>
        </w:rPr>
        <w:footnoteReference w:id="60"/>
      </w:r>
      <w:r>
        <w:rPr>
          <w:rFonts w:ascii="Times New Roman" w:eastAsia="Times New Roman" w:hAnsi="Times New Roman" w:cs="Times New Roman"/>
          <w:sz w:val="20"/>
          <w:szCs w:val="20"/>
        </w:rPr>
        <w:t>.</w:t>
      </w:r>
    </w:p>
    <w:p w14:paraId="1CE6389B"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De 2017 a 2021, la región pasó de contar con 703 emprendimientos Fintech a tener 2.482, representando así el 22.6% de todas las empresas del sector a nivel mundial. Actualmente, los países de mayor relevancia son: Brasil y México, seguidos por Colombia, Argentina y Chile. Estos cinco países concentran el 81% de las fintech de la región. Entre ellos, hay 8 ciudades que están consideradas como hubs para el desarrollo de la industria: Ciudad de México, Medellín, Bogotá, Belo Horizonte, Río de Janeiro, São Paulo, Santiago de Chile y Buenos Aires.</w:t>
      </w:r>
    </w:p>
    <w:p w14:paraId="1CE6389C" w14:textId="77777777" w:rsidR="004D0443" w:rsidRDefault="004D0443">
      <w:pPr>
        <w:spacing w:line="276" w:lineRule="auto"/>
        <w:jc w:val="both"/>
        <w:rPr>
          <w:rFonts w:ascii="Times New Roman" w:eastAsia="Times New Roman" w:hAnsi="Times New Roman" w:cs="Times New Roman"/>
          <w:sz w:val="22"/>
          <w:szCs w:val="22"/>
        </w:rPr>
      </w:pPr>
    </w:p>
    <w:p w14:paraId="1CE6389D"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las fintech son claves para la economía de los países, gracias a la inclusión financiera que estas logran y, especialmente, en regiones donde el acceso a servicios financieros tradicionales ha sido limitado. Según Aizenman (2023)</w:t>
      </w:r>
      <w:r>
        <w:rPr>
          <w:rFonts w:ascii="Times New Roman" w:eastAsia="Times New Roman" w:hAnsi="Times New Roman" w:cs="Times New Roman"/>
          <w:sz w:val="22"/>
          <w:szCs w:val="22"/>
          <w:vertAlign w:val="superscript"/>
        </w:rPr>
        <w:footnoteReference w:id="61"/>
      </w:r>
      <w:r>
        <w:rPr>
          <w:rFonts w:ascii="Times New Roman" w:eastAsia="Times New Roman" w:hAnsi="Times New Roman" w:cs="Times New Roman"/>
          <w:sz w:val="22"/>
          <w:szCs w:val="22"/>
        </w:rPr>
        <w:t xml:space="preserve">, las fintech están democratizando el acceso a servicios financieros, permitiendo que un número sin precedentes de personas pueda contar con productos de este sector que antes estaban disponibles únicamente para instituciones más grandes. Este acceso ampliado es un pilar fundamental para impulsar la inclusión financiera, que es clave para el desarrollo económico. </w:t>
      </w:r>
    </w:p>
    <w:p w14:paraId="1CE6389E" w14:textId="77777777" w:rsidR="004D0443" w:rsidRDefault="004D0443">
      <w:pPr>
        <w:spacing w:line="276" w:lineRule="auto"/>
        <w:jc w:val="both"/>
        <w:rPr>
          <w:rFonts w:ascii="Times New Roman" w:eastAsia="Times New Roman" w:hAnsi="Times New Roman" w:cs="Times New Roman"/>
          <w:sz w:val="22"/>
          <w:szCs w:val="22"/>
        </w:rPr>
      </w:pPr>
    </w:p>
    <w:p w14:paraId="1CE6389F"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el Banco Interamericano de Desarrollo (BID) (2020)</w:t>
      </w:r>
      <w:r>
        <w:rPr>
          <w:rFonts w:ascii="Times New Roman" w:eastAsia="Times New Roman" w:hAnsi="Times New Roman" w:cs="Times New Roman"/>
          <w:sz w:val="22"/>
          <w:szCs w:val="22"/>
          <w:vertAlign w:val="superscript"/>
        </w:rPr>
        <w:footnoteReference w:id="62"/>
      </w:r>
      <w:r>
        <w:rPr>
          <w:rFonts w:ascii="Times New Roman" w:eastAsia="Times New Roman" w:hAnsi="Times New Roman" w:cs="Times New Roman"/>
          <w:sz w:val="22"/>
          <w:szCs w:val="22"/>
        </w:rPr>
        <w:t>, las fintech han revolucionado el financiamiento a las mipymes, permitiendo que un 95% de sus clientes sean empresas previamente excluidas del sistema financiero formal​. Las fintech han logrado ampliar el acceso a productos como créditos, pagos digitales y herramientas de gestión financiera. Esto ha permitido que sectores marginados, tanto en zonas rurales como urbanas, participen en la economía formal, mejorando la capacidad de las empresas para digitalizarse y formalizarse. De acuerdo con el BID, la adopción de nuevas tecnologías, así como  la colaboración entre plataformas fintech y bancos tradicionales ha facilitado la expansión del crédito y otros productos financieros para mipymes​​.</w:t>
      </w:r>
    </w:p>
    <w:p w14:paraId="1CE638A0" w14:textId="77777777" w:rsidR="004D0443" w:rsidRDefault="004D0443">
      <w:pPr>
        <w:spacing w:line="276" w:lineRule="auto"/>
        <w:jc w:val="both"/>
        <w:rPr>
          <w:rFonts w:ascii="Times New Roman" w:eastAsia="Times New Roman" w:hAnsi="Times New Roman" w:cs="Times New Roman"/>
          <w:sz w:val="22"/>
          <w:szCs w:val="22"/>
        </w:rPr>
      </w:pPr>
    </w:p>
    <w:p w14:paraId="1CE638A1"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La educación financiera también ha sido un aspecto esencial para el éxito de la inclusión. Las fintech han desarrollado aplicaciones y plataformas que no sólo proporcionan acceso a servicios financieros, sino que educan a los usuarios en temas de ahorro, inversión y gestión financiera. Según Aizenman (2023)</w:t>
      </w:r>
      <w:r>
        <w:rPr>
          <w:rFonts w:ascii="Times New Roman" w:eastAsia="Times New Roman" w:hAnsi="Times New Roman" w:cs="Times New Roman"/>
          <w:sz w:val="22"/>
          <w:szCs w:val="22"/>
          <w:vertAlign w:val="superscript"/>
        </w:rPr>
        <w:footnoteReference w:id="63"/>
      </w:r>
      <w:r>
        <w:rPr>
          <w:rFonts w:ascii="Times New Roman" w:eastAsia="Times New Roman" w:hAnsi="Times New Roman" w:cs="Times New Roman"/>
          <w:sz w:val="22"/>
          <w:szCs w:val="22"/>
        </w:rPr>
        <w:t xml:space="preserve">, esta educación financiera ha sido clave para que los usuarios comprendan mejor los productos disponibles y tomen decisiones más informadas sobre su dinero​​. </w:t>
      </w:r>
    </w:p>
    <w:p w14:paraId="1CE638A2" w14:textId="77777777" w:rsidR="004D0443" w:rsidRDefault="004D0443">
      <w:pPr>
        <w:spacing w:line="276" w:lineRule="auto"/>
        <w:jc w:val="both"/>
        <w:rPr>
          <w:rFonts w:ascii="Times New Roman" w:eastAsia="Times New Roman" w:hAnsi="Times New Roman" w:cs="Times New Roman"/>
          <w:sz w:val="22"/>
          <w:szCs w:val="22"/>
        </w:rPr>
      </w:pPr>
    </w:p>
    <w:p w14:paraId="1CE638A3"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2.9. Innovaciones recientes en Startups y su impacto.</w:t>
      </w:r>
    </w:p>
    <w:p w14:paraId="1CE638A4"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Cardona (2024)</w:t>
      </w:r>
      <w:r>
        <w:rPr>
          <w:rFonts w:ascii="Times New Roman" w:eastAsia="Times New Roman" w:hAnsi="Times New Roman" w:cs="Times New Roman"/>
          <w:sz w:val="22"/>
          <w:szCs w:val="22"/>
          <w:vertAlign w:val="superscript"/>
        </w:rPr>
        <w:footnoteReference w:id="64"/>
      </w:r>
      <w:r>
        <w:rPr>
          <w:rFonts w:ascii="Times New Roman" w:eastAsia="Times New Roman" w:hAnsi="Times New Roman" w:cs="Times New Roman"/>
          <w:sz w:val="22"/>
          <w:szCs w:val="22"/>
        </w:rPr>
        <w:t xml:space="preserve"> Las startups en Colombia y América Latina están impulsando innovaciones clave en sectores como las finanzas, la agricultura y la energía. Ejemplos destacados incluyen a: </w:t>
      </w:r>
    </w:p>
    <w:p w14:paraId="1CE638A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AAvance</w:t>
      </w:r>
      <w:r>
        <w:rPr>
          <w:rFonts w:ascii="Times New Roman" w:eastAsia="Times New Roman" w:hAnsi="Times New Roman" w:cs="Times New Roman"/>
          <w:sz w:val="22"/>
          <w:szCs w:val="22"/>
        </w:rPr>
        <w:t>: Una fintech centrada en la inclusión financiera, enfocada en migrantes retornados y personas desbancarizadas. Ofrece productos como tarjetas de débito y la posibilidad de crear historial crediticio, fomentando la educación financiera y el acceso a créditos para poblaciones tradicionalmente excluidas.</w:t>
      </w:r>
    </w:p>
    <w:p w14:paraId="1CE638A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Monet</w:t>
      </w:r>
      <w:r>
        <w:rPr>
          <w:rFonts w:ascii="Times New Roman" w:eastAsia="Times New Roman" w:hAnsi="Times New Roman" w:cs="Times New Roman"/>
          <w:sz w:val="22"/>
          <w:szCs w:val="22"/>
        </w:rPr>
        <w:t>: Otra fintech que proporciona adelantos salariales utilizando un algoritmo de crédito innovador basado en datos alternativos. Ha logrado más de un millón de créditos y se ha aliado con grandes bancos como Nequi y Bancolombia. Planea expandirse a México, ofreciendo soluciones de crédito más accesibles y justas.</w:t>
      </w:r>
    </w:p>
    <w:p w14:paraId="1CE638A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Superfrutti</w:t>
      </w:r>
      <w:r>
        <w:rPr>
          <w:rFonts w:ascii="Times New Roman" w:eastAsia="Times New Roman" w:hAnsi="Times New Roman" w:cs="Times New Roman"/>
          <w:sz w:val="22"/>
          <w:szCs w:val="22"/>
        </w:rPr>
        <w:t>: Esta startup conecta a agricultores con dueños de negocios mediante tecnología e inteligencia artificial para optimizar la cadena de suministro agrícola. Ha integrado a pequeños productores en el mercado formal, mejorando la eficiencia y garantizando precios justos.</w:t>
      </w:r>
    </w:p>
    <w:p w14:paraId="1CE638A8" w14:textId="77777777" w:rsidR="004D0443" w:rsidRDefault="00DA3067">
      <w:pPr>
        <w:spacing w:before="240" w:after="240" w:line="276" w:lineRule="auto"/>
        <w:jc w:val="center"/>
        <w:rPr>
          <w:rFonts w:ascii="Times New Roman" w:eastAsia="Times New Roman" w:hAnsi="Times New Roman" w:cs="Times New Roman"/>
          <w:b/>
          <w:sz w:val="20"/>
          <w:szCs w:val="20"/>
        </w:rPr>
      </w:pPr>
      <w:r>
        <w:rPr>
          <w:rFonts w:ascii="Times New Roman" w:eastAsia="Times New Roman" w:hAnsi="Times New Roman" w:cs="Times New Roman"/>
          <w:noProof/>
          <w:sz w:val="22"/>
          <w:szCs w:val="22"/>
          <w:lang w:val="es-CO"/>
        </w:rPr>
        <w:drawing>
          <wp:inline distT="114300" distB="114300" distL="114300" distR="114300" wp14:anchorId="1CE63A0F" wp14:editId="1CE63A10">
            <wp:extent cx="1890713" cy="3781425"/>
            <wp:effectExtent l="0" t="0" r="0" b="0"/>
            <wp:docPr id="14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9"/>
                    <a:srcRect/>
                    <a:stretch>
                      <a:fillRect/>
                    </a:stretch>
                  </pic:blipFill>
                  <pic:spPr>
                    <a:xfrm>
                      <a:off x="0" y="0"/>
                      <a:ext cx="1890713" cy="3781425"/>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10: </w:t>
      </w:r>
      <w:r>
        <w:rPr>
          <w:rFonts w:ascii="Times New Roman" w:eastAsia="Times New Roman" w:hAnsi="Times New Roman" w:cs="Times New Roman"/>
          <w:sz w:val="20"/>
          <w:szCs w:val="20"/>
        </w:rPr>
        <w:t>Interfaz de Superfrutti.</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ValoraAnalitik, 2024</w:t>
      </w:r>
      <w:r>
        <w:rPr>
          <w:rFonts w:ascii="Times New Roman" w:eastAsia="Times New Roman" w:hAnsi="Times New Roman" w:cs="Times New Roman"/>
          <w:sz w:val="20"/>
          <w:szCs w:val="20"/>
          <w:vertAlign w:val="superscript"/>
        </w:rPr>
        <w:footnoteReference w:id="65"/>
      </w:r>
      <w:r>
        <w:rPr>
          <w:rFonts w:ascii="Times New Roman" w:eastAsia="Times New Roman" w:hAnsi="Times New Roman" w:cs="Times New Roman"/>
          <w:b/>
          <w:sz w:val="20"/>
          <w:szCs w:val="20"/>
        </w:rPr>
        <w:t>.</w:t>
      </w:r>
    </w:p>
    <w:p w14:paraId="1CE638A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Decimetrix</w:t>
      </w:r>
      <w:r>
        <w:rPr>
          <w:rFonts w:ascii="Times New Roman" w:eastAsia="Times New Roman" w:hAnsi="Times New Roman" w:cs="Times New Roman"/>
          <w:sz w:val="22"/>
          <w:szCs w:val="22"/>
        </w:rPr>
        <w:t>: Especializada en la gestión de emisiones y sostenibilidad en la industria energética, ofrece una plataforma para gestionar la huella de carbono. Se ha consolidado como líder en la transformación digital de la industria energética con soluciones para hacerla más eficiente y sostenible.</w:t>
      </w:r>
    </w:p>
    <w:p w14:paraId="1CE638A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Saavedra (2024)</w:t>
      </w:r>
      <w:r>
        <w:rPr>
          <w:rFonts w:ascii="Times New Roman" w:eastAsia="Times New Roman" w:hAnsi="Times New Roman" w:cs="Times New Roman"/>
          <w:sz w:val="22"/>
          <w:szCs w:val="22"/>
          <w:vertAlign w:val="superscript"/>
        </w:rPr>
        <w:footnoteReference w:id="66"/>
      </w:r>
      <w:r>
        <w:rPr>
          <w:rFonts w:ascii="Times New Roman" w:eastAsia="Times New Roman" w:hAnsi="Times New Roman" w:cs="Times New Roman"/>
          <w:sz w:val="22"/>
          <w:szCs w:val="22"/>
        </w:rPr>
        <w:t>, en el evento StartCo 2024, celebrado en Bogotá,  se reunieron  a las startups más prometedoras de la región, destacadas  por su enfoque en la innovación tecnológica y la digitalización de servicios. Este evento se ha consolidado como un referente para el ecosistema emprendedor en Colombia y América Latina, atrayendo a más de 14.200 asistentes, 320 inversionistas y 300 startups. Durante el evento, se concretaron intenciones de inversión por 4.8 millones de dólares y se logró financiar a emprendedores por 1.3 millones de dólares. Entre las startups destacadas, Mancii sobresalió por su uso de inteligencia artificial para ayudar a los estudiantes a encontrar instituciones educativas que se adapten a sus necesidades y metas, conectándose directamente con ellas. Este enfoque personalizado facilita la búsqueda de oportunidades educativas, lo que resulta en una mejor orientación para los jóvenes.</w:t>
      </w:r>
    </w:p>
    <w:p w14:paraId="1CE638A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Otra startup destacada es Autoparti, una plataforma digital creada para las pymes del sector automotriz. Permite que las pequeñas y medianas empresas del sector muestren sus servicios de manera digital, facilitando que los usuarios encuentren y compren autopartes y servicios de manera rápida y eficiente. Esto ha significado una transformación en la forma en que las pymes acceden a los mercados, mejorando la visibilidad y alcance de sus productos (Saavedra, 2024)</w:t>
      </w:r>
      <w:r>
        <w:rPr>
          <w:rFonts w:ascii="Times New Roman" w:eastAsia="Times New Roman" w:hAnsi="Times New Roman" w:cs="Times New Roman"/>
          <w:sz w:val="22"/>
          <w:szCs w:val="22"/>
          <w:vertAlign w:val="superscript"/>
        </w:rPr>
        <w:footnoteReference w:id="67"/>
      </w:r>
      <w:r>
        <w:rPr>
          <w:rFonts w:ascii="Times New Roman" w:eastAsia="Times New Roman" w:hAnsi="Times New Roman" w:cs="Times New Roman"/>
          <w:sz w:val="22"/>
          <w:szCs w:val="22"/>
        </w:rPr>
        <w:t>.</w:t>
      </w:r>
    </w:p>
    <w:p w14:paraId="1CE638A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Fasil, otra de las finalistas, ofrece una plataforma que optimiza el proceso de compra de vivienda en Colombia, facilitando la búsqueda y adquisición de propiedades. Por otro lado, Inkoms, una WealthTech, provee soluciones digitales enfocadas en ahorro e inversión, permitiendo a los usuarios gestionar mejor sus finanzas y aumentar sus oportunidades de inversión. Estas startups son solo algunas de las que están liderando la transformación digital y la innovación en diversos sectores clave para la economía regional (Saavedra, 2024)</w:t>
      </w:r>
      <w:r>
        <w:rPr>
          <w:rFonts w:ascii="Times New Roman" w:eastAsia="Times New Roman" w:hAnsi="Times New Roman" w:cs="Times New Roman"/>
          <w:sz w:val="22"/>
          <w:szCs w:val="22"/>
          <w:vertAlign w:val="superscript"/>
        </w:rPr>
        <w:footnoteReference w:id="68"/>
      </w:r>
      <w:r>
        <w:rPr>
          <w:rFonts w:ascii="Times New Roman" w:eastAsia="Times New Roman" w:hAnsi="Times New Roman" w:cs="Times New Roman"/>
          <w:sz w:val="22"/>
          <w:szCs w:val="22"/>
        </w:rPr>
        <w:t>.</w:t>
      </w:r>
    </w:p>
    <w:p w14:paraId="1CE638A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artículo "Innovaciones en Startups de IA: Impulsando el Desarrollo Tecnológico"</w:t>
      </w:r>
      <w:r>
        <w:rPr>
          <w:rFonts w:ascii="Times New Roman" w:eastAsia="Times New Roman" w:hAnsi="Times New Roman" w:cs="Times New Roman"/>
          <w:sz w:val="22"/>
          <w:szCs w:val="22"/>
          <w:vertAlign w:val="superscript"/>
        </w:rPr>
        <w:footnoteReference w:id="69"/>
      </w:r>
      <w:r>
        <w:rPr>
          <w:rFonts w:ascii="Times New Roman" w:eastAsia="Times New Roman" w:hAnsi="Times New Roman" w:cs="Times New Roman"/>
          <w:sz w:val="22"/>
          <w:szCs w:val="22"/>
        </w:rPr>
        <w:t xml:space="preserve"> destaca cómo las startups que trabajan con inteligencia artificial (IA) están revolucionando diversos sectores a través de tecnologías avanzadas. Estas empresas emergentes aprovechan la IA para optimizar procesos, mejorar la toma de decisiones y personalizar la experiencia de usuario en áreas como la salud, la educación y el transporte. Una característica clave de estas startups es su capacidad de escalabilidad, lo que les permite crecer rápidamente en respuesta a las demandas del mercado, mientras utilizan tecnologías como el 5G y el Internet de las Cosas (IoT) para mejorar la conectividad y el flujo de datos en tiempo real.</w:t>
      </w:r>
    </w:p>
    <w:p w14:paraId="1CE638A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el artículo señala que estas startups están redefiniendo el panorama empresarial al introducir innovaciones que aumentan la eficiencia operativa y ofrecen soluciones a problemas complejos. Este enfoque les ha permitido no solo competir en un mercado global, sino también abrir nuevas oportunidades de negocio en sectores como el análisis de datos, la automatización y el machine learning. En un entorno cada vez más digital, las startups de IA se han convertido en agentes clave de cambio, impactando significativamente en la competitividad y sostenibilidad de diversas industrias (Martínez López, 2024)</w:t>
      </w:r>
      <w:r>
        <w:rPr>
          <w:rFonts w:ascii="Times New Roman" w:eastAsia="Times New Roman" w:hAnsi="Times New Roman" w:cs="Times New Roman"/>
          <w:sz w:val="22"/>
          <w:szCs w:val="22"/>
          <w:vertAlign w:val="superscript"/>
        </w:rPr>
        <w:footnoteReference w:id="70"/>
      </w:r>
      <w:r>
        <w:rPr>
          <w:rFonts w:ascii="Times New Roman" w:eastAsia="Times New Roman" w:hAnsi="Times New Roman" w:cs="Times New Roman"/>
          <w:sz w:val="22"/>
          <w:szCs w:val="22"/>
        </w:rPr>
        <w:t>.</w:t>
      </w:r>
    </w:p>
    <w:p w14:paraId="1CE638AF"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2.9.1. Brechas de financiamiento para el crecimiento de startups:</w:t>
      </w:r>
    </w:p>
    <w:p w14:paraId="1CE638B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Al explorar el ambiente de financiamiento en Silicon Valley y Londres, podemos identificar características distintivas que diferencian a estos centros globales de otros ecosistemas emergentes como Bogotá. En Silicon Valley, la disponibilidad y diversidad de capital son excepcionales. Según un informe reciente, el capital de riesgo en Silicon Valley alcanzó su punto más alto, con un capital de mercado agregado de $14.3 trillones en febrero de 2024, evidenciando una robusta confianza y capacidad de inversión en la región (Joint Venture Silicon Valley, 2024)</w:t>
      </w:r>
      <w:r>
        <w:rPr>
          <w:rFonts w:ascii="Times New Roman" w:eastAsia="Times New Roman" w:hAnsi="Times New Roman" w:cs="Times New Roman"/>
          <w:sz w:val="22"/>
          <w:szCs w:val="22"/>
          <w:vertAlign w:val="superscript"/>
        </w:rPr>
        <w:footnoteReference w:id="71"/>
      </w:r>
      <w:r>
        <w:rPr>
          <w:rFonts w:ascii="Times New Roman" w:eastAsia="Times New Roman" w:hAnsi="Times New Roman" w:cs="Times New Roman"/>
          <w:sz w:val="22"/>
          <w:szCs w:val="22"/>
        </w:rPr>
        <w:t>.</w:t>
      </w:r>
    </w:p>
    <w:p w14:paraId="1CE638B1" w14:textId="77777777" w:rsidR="004D0443" w:rsidRDefault="00DA3067">
      <w:pPr>
        <w:spacing w:before="240" w:after="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noProof/>
          <w:sz w:val="22"/>
          <w:szCs w:val="22"/>
          <w:lang w:val="es-CO"/>
        </w:rPr>
        <w:drawing>
          <wp:inline distT="114300" distB="114300" distL="114300" distR="114300" wp14:anchorId="1CE63A11" wp14:editId="1CE63A12">
            <wp:extent cx="4192088" cy="3238370"/>
            <wp:effectExtent l="0" t="0" r="0" b="0"/>
            <wp:docPr id="14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a:stretch>
                      <a:fillRect/>
                    </a:stretch>
                  </pic:blipFill>
                  <pic:spPr>
                    <a:xfrm>
                      <a:off x="0" y="0"/>
                      <a:ext cx="4192088" cy="323837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2"/>
          <w:szCs w:val="22"/>
        </w:rPr>
        <w:t xml:space="preserve">Imagen 11: </w:t>
      </w:r>
      <w:r>
        <w:rPr>
          <w:rFonts w:ascii="Times New Roman" w:eastAsia="Times New Roman" w:hAnsi="Times New Roman" w:cs="Times New Roman"/>
          <w:sz w:val="22"/>
          <w:szCs w:val="22"/>
        </w:rPr>
        <w:t>Capital de Riesgo en Silicon Valley y San Francisco.</w:t>
      </w:r>
      <w:r>
        <w:rPr>
          <w:rFonts w:ascii="Times New Roman" w:eastAsia="Times New Roman" w:hAnsi="Times New Roman" w:cs="Times New Roman"/>
          <w:sz w:val="22"/>
          <w:szCs w:val="22"/>
        </w:rPr>
        <w:br/>
      </w:r>
      <w:r>
        <w:rPr>
          <w:rFonts w:ascii="Times New Roman" w:eastAsia="Times New Roman" w:hAnsi="Times New Roman" w:cs="Times New Roman"/>
          <w:b/>
          <w:sz w:val="22"/>
          <w:szCs w:val="22"/>
        </w:rPr>
        <w:t xml:space="preserve">Fuente: </w:t>
      </w:r>
      <w:r>
        <w:rPr>
          <w:rFonts w:ascii="Times New Roman" w:eastAsia="Times New Roman" w:hAnsi="Times New Roman" w:cs="Times New Roman"/>
          <w:sz w:val="22"/>
          <w:szCs w:val="22"/>
        </w:rPr>
        <w:t>Joint Venture, 2024</w:t>
      </w:r>
      <w:r>
        <w:rPr>
          <w:rFonts w:ascii="Times New Roman" w:eastAsia="Times New Roman" w:hAnsi="Times New Roman" w:cs="Times New Roman"/>
          <w:sz w:val="22"/>
          <w:szCs w:val="22"/>
          <w:vertAlign w:val="superscript"/>
        </w:rPr>
        <w:footnoteReference w:id="72"/>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
    <w:p w14:paraId="1CE638B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la gráfica 3, en 2023 la inversión total de capital de riesgo en Silicon Valley y San Francisco alcanzó los $30.5 mil millones, lo que representa un descenso por segundo año consecutivo desde un récord de casi $92 mil millones en 2021, ajustado por inflación. Este declive subraya una posible saturación del mercado o una reevaluación del riesgo por parte de los inversores ante condiciones económicas cambiantes. Específicamente, mientras que la inversión total en empresas de Silicon Valley disminuyó un 22% en comparación anual, la inversión en empresas del condado de San Mateo (parte de la región de Silicon Valley) aumentó un 12%, de $9.99 mil millones en 2022 a $11.17 mil millones en 2023, destacando dinámicas locales particulares dentro del mismo ecosistema.</w:t>
      </w:r>
    </w:p>
    <w:p w14:paraId="1CE638B3" w14:textId="77777777" w:rsidR="004D0443" w:rsidRDefault="00DA3067">
      <w:pPr>
        <w:spacing w:before="240" w:after="240" w:line="276" w:lineRule="auto"/>
        <w:jc w:val="center"/>
        <w:rPr>
          <w:rFonts w:ascii="Times New Roman" w:eastAsia="Times New Roman" w:hAnsi="Times New Roman" w:cs="Times New Roman"/>
          <w:b/>
          <w:sz w:val="20"/>
          <w:szCs w:val="20"/>
        </w:rPr>
      </w:pPr>
      <w:r>
        <w:rPr>
          <w:rFonts w:ascii="Times New Roman" w:eastAsia="Times New Roman" w:hAnsi="Times New Roman" w:cs="Times New Roman"/>
          <w:noProof/>
          <w:sz w:val="22"/>
          <w:szCs w:val="22"/>
          <w:lang w:val="es-CO"/>
        </w:rPr>
        <w:drawing>
          <wp:inline distT="114300" distB="114300" distL="114300" distR="114300" wp14:anchorId="1CE63A13" wp14:editId="1CE63A14">
            <wp:extent cx="5612400" cy="4216400"/>
            <wp:effectExtent l="0" t="0" r="0" b="0"/>
            <wp:docPr id="1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5612400" cy="421640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12: </w:t>
      </w:r>
      <w:r>
        <w:rPr>
          <w:rFonts w:ascii="Times New Roman" w:eastAsia="Times New Roman" w:hAnsi="Times New Roman" w:cs="Times New Roman"/>
          <w:sz w:val="20"/>
          <w:szCs w:val="20"/>
        </w:rPr>
        <w:t>Unicornios y Decacornios.</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Joint Venture, 2024</w:t>
      </w:r>
      <w:r>
        <w:rPr>
          <w:rFonts w:ascii="Times New Roman" w:eastAsia="Times New Roman" w:hAnsi="Times New Roman" w:cs="Times New Roman"/>
          <w:sz w:val="20"/>
          <w:szCs w:val="20"/>
          <w:vertAlign w:val="superscript"/>
        </w:rPr>
        <w:footnoteReference w:id="73"/>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 xml:space="preserve"> </w:t>
      </w:r>
    </w:p>
    <w:p w14:paraId="1CE638B4"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La Gráfica 4 demuestra la importancia de cómo una región mueve toda una economía y es relevante para el contexto de las startups, pues las compañías Unicornio entre 2020 y 2023 han mostrado un crecimiento constante globalmente. En 2020, había 270 unicornios, aumentando a 577 en 2023. La participación de Silicon Valley y San Francisco ha decrecido en términos relativos, sugiriendo un aumento más rápido en otras regiones del mundo y del resto de los EE. UU. Esto puede indicar una diversificación geográfica de empresas innovadoras y altamente valoradas. </w:t>
      </w:r>
    </w:p>
    <w:p w14:paraId="1CE638B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los decacornios han aumentado de 19 en 2020 a 21 en 2023. Silicon Valley muestra un crecimiento destacado en esta categoría, pasando de 4 decacornios en 2020 a 21 en 2023, lo que indica que aunque hay más unicornios emergiendo globalmente, las empresas de alto valor siguen concentrándose en Silicon Valley. Esto refleja que, aunque hay una expansión geográfica de startups de alto valor, Silicon Valley sigue siendo un eje crítico para el desarrollo de empresas de escala masiva.</w:t>
      </w:r>
    </w:p>
    <w:p w14:paraId="1CE638B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Londres se destaca no solo por su capacidad para atraer inversiones significativas, sino también por su papel como líder en el desarrollo de startups tecnológicas. En el primer semestre de 2022, las empresas tecnológicas londinenses captaron un récord de $11.3 mil millones en financiación de capital de riesgo, superando el total recaudado en los primeros seis meses de 2021 y marcando un hito en la historia de inversiones en la ciudad (London &amp; Partners, 2022)</w:t>
      </w:r>
      <w:r>
        <w:rPr>
          <w:rFonts w:ascii="Times New Roman" w:eastAsia="Times New Roman" w:hAnsi="Times New Roman" w:cs="Times New Roman"/>
          <w:sz w:val="22"/>
          <w:szCs w:val="22"/>
          <w:vertAlign w:val="superscript"/>
        </w:rPr>
        <w:footnoteReference w:id="74"/>
      </w:r>
      <w:r>
        <w:rPr>
          <w:rFonts w:ascii="Times New Roman" w:eastAsia="Times New Roman" w:hAnsi="Times New Roman" w:cs="Times New Roman"/>
          <w:sz w:val="22"/>
          <w:szCs w:val="22"/>
        </w:rPr>
        <w:t>. Esta notable afluencia de capital es un testimonio de la confianza que los inversores tienen en el ecosistema de startups de Londres, impulsada no solo por la cantidad de capital disponible sino también por la calidad y el potencial de crecimiento de las empresas emergentes en la región.</w:t>
      </w:r>
    </w:p>
    <w:p w14:paraId="1CE638B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informe de Startup Genome de 2022 también resalta la posición de Londres como el principal hub de Europa para startups, con un valor de ecosistema de $314 mil millones, significativamente superior a ciudades como Berlín y París (London &amp; Partners, 2022)</w:t>
      </w:r>
      <w:r>
        <w:rPr>
          <w:rFonts w:ascii="Times New Roman" w:eastAsia="Times New Roman" w:hAnsi="Times New Roman" w:cs="Times New Roman"/>
          <w:sz w:val="22"/>
          <w:szCs w:val="22"/>
          <w:vertAlign w:val="superscript"/>
        </w:rPr>
        <w:footnoteReference w:id="75"/>
      </w:r>
      <w:r>
        <w:rPr>
          <w:rFonts w:ascii="Times New Roman" w:eastAsia="Times New Roman" w:hAnsi="Times New Roman" w:cs="Times New Roman"/>
          <w:sz w:val="22"/>
          <w:szCs w:val="22"/>
        </w:rPr>
        <w:t>. Esto subraya la consolidación de Londres no sólo como un centro de atracción de capital sino también como un líder en innovación y desarrollo empresarial a nivel global. Además, Londres ha demostrado ser un entorno especialmente propicio para sectores de alto crecimiento como Fintech, EdTech y Climate Tech, lo que refleja su capacidad para adaptarse y liderar en áreas de tecnología emergente.</w:t>
      </w:r>
    </w:p>
    <w:p w14:paraId="1CE638B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términos de apoyo institucional, Londres ofrece condiciones óptimas para el desarrollo y la escalabilidad de startups, incluyendo acceso a inversores, programas de aceleración y una comunidad de innovación bien conectada. Este entorno de apoyo robusto no solo facilita el acceso al capital sino que también proporciona recursos críticos para la expansión y el éxito internacional de las startups (London &amp; Partners, 2022). El alcalde de Londres, Sadiq Khan, y otros líderes empresariales han reconocido y promovido activamente Londres como un centro global para la tecnología y la innovación, lo cual se refleja en el continuo crecimiento y la dinámica de su ecosistema de startups.</w:t>
      </w:r>
    </w:p>
    <w:p w14:paraId="1CE638B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contraste, Bogotá está desarrollando su infraestructura de financiación para alcanzar este nivel de apoyo y flexibilidad. Mientras que los ecosistemas en Silicon Valley y Londres tienen acceso a una amplia gama de opciones de financiación y un entorno de inversión maduro, Bogotá necesita fortalecer sus conexiones con inversores globales y expandir los mecanismos de apoyo gubernamental y privado para fomentar una cultura de inversión más robusta y menos adversa al riesgo. Este análisis subraya la importancia de adaptar y expandir las oportunidades de financiamiento en Bogotá para cerrar la brecha con ecosistemas más establecidos y asegurar que las startups locales tengan las herramientas necesarias para competir y prosperar a nivel global.</w:t>
      </w:r>
    </w:p>
    <w:p w14:paraId="1CE638BA"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2.9.2. Importancia y pertinencia para Bogotá de este Proyecto de Acuerdo </w:t>
      </w:r>
    </w:p>
    <w:p w14:paraId="1CE638B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primer lugar, y con base en toda la exposición de motivos construida anteriormente, se fundamenta en el papel crucial que las startups desempeñan en la economía global y local, especialmente como Bogotá se ha consolidado como un epicentro de impulso a startups. Hoy las herramientas como motores de innovación, disrupción tecnológica y generación de empleo son fundamentales para la consolidación de estas empresas emergentes. A nivel mundial, las startups han demostrado una capacidad única para transformar sectores tradicionales mediante la creación de productos y servicios disruptivos, especialmente en áreas como tecnología, fintech, healthtech y energytech. Estos sectores no solo son altamente innovadores, sino que también están alineados con las necesidades del mercado global contemporáneo, donde la eficiencia, la digitalización y la sostenibilidad son fundamentales para el crecimiento​.</w:t>
      </w:r>
    </w:p>
    <w:p w14:paraId="1CE638B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Bogotá el ecosistema de startups ha experimentado un crecimiento significativo, consolidando a la ciudad como un hub de innovación clave en América Latina, junto a centros como São Paulo y Ciudad de México. Bogotá concentra el 59% de las startups colombianas según lo expuesto anteriormente, lo que la convierte en el epicentro de este tipo de emprendimientos en el país. Esta concentración de actividad refleja tanto la vitalidad del sector como la urgencia de contar con un marco regulatorio y de apoyo que impulse aún más su desarrollo. El proyecto de acuerdo responde a esta necesidad, reconociendo el potencial de las startups para mejorar la competitividad de la ciudad, generar empleo, impulsar el crecimiento económico y fortalecer sectores estratégicos como fintech, proptech, y healthtech​.</w:t>
      </w:r>
    </w:p>
    <w:p w14:paraId="1CE638B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uno de los principales retos que enfrentan las startups en Bogotá, como en muchas otras ciudades emergentes, es la falta de acceso a financiamiento adecuado y a redes de inversión. El proyecto de acuerdo busca superar estas brechas estructurales al promover incentivos, y fortalecer la infraestructura tecnológica necesaria para que las startups puedan crecer y consolidarse. En Silicon Valley, Londres o Nueva York, los ecosistemas de startups florecen porque están respaldados por un entorno donde la disponibilidad de capital de riesgo, las redes de mentores y la infraestructura tecnológica son robustas y accesibles. En contraste, Bogotá aún enfrenta desafíos para competir en igualdad de condiciones a nivel global​.</w:t>
      </w:r>
    </w:p>
    <w:p w14:paraId="1CE638B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propuesta de este proyecto de acuerdo, por lo tanto, no solo fomenta la creación, el crecimiento y la sostenibilidad de startups en la ciudad, sino que busca integrar a Bogotá en la economía del conocimiento y la innovación, una estrategia para impulsar el desarrollo económico de la ciudad en el largo plazo. La creación de alianzas estratégicas entre el sector público, privado y la academia es uno de los pilares del proyecto, también, la estrategia para financiar a startups consolidadas o en proceso de consolidarse, lo que permitirá conectar a las startups con fuentes de financiamiento, redes internacionales y oportunidades de colaboración. Estas alianzas no solo potencian el crecimiento, sino que también facilitan la transferencia de tecnología y conocimiento, elementos esenciales para competir en un entorno global a la par de grandes ciudades de otros países​.</w:t>
      </w:r>
    </w:p>
    <w:p w14:paraId="1CE638B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 importante destacar que, hasta la actualidad, el Congreso de la República de Colombia no ha expedido una ley específica para el fomento de las startups. Como tampoco el Concejo de Bogotá D.C. ha emitido un Acuerdo Distrital sobre la materia.</w:t>
      </w:r>
    </w:p>
    <w:p w14:paraId="1CE638C0" w14:textId="77777777" w:rsidR="004D0443" w:rsidRDefault="004D0443">
      <w:pPr>
        <w:spacing w:line="276" w:lineRule="auto"/>
        <w:jc w:val="both"/>
        <w:rPr>
          <w:rFonts w:ascii="Times New Roman" w:eastAsia="Times New Roman" w:hAnsi="Times New Roman" w:cs="Times New Roman"/>
          <w:sz w:val="22"/>
          <w:szCs w:val="22"/>
        </w:rPr>
      </w:pPr>
    </w:p>
    <w:p w14:paraId="1CE638C1"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 RELACIÓN DE LA INICIATIVA CON LOS OBJETIVOS DE DESARROLLO SOSTENIBLE (ODS)</w:t>
      </w:r>
    </w:p>
    <w:p w14:paraId="1CE638C2" w14:textId="77777777" w:rsidR="004D0443" w:rsidRDefault="004D0443">
      <w:pPr>
        <w:spacing w:line="276" w:lineRule="auto"/>
        <w:jc w:val="center"/>
        <w:rPr>
          <w:rFonts w:ascii="Times New Roman" w:eastAsia="Times New Roman" w:hAnsi="Times New Roman" w:cs="Times New Roman"/>
          <w:b/>
          <w:sz w:val="22"/>
          <w:szCs w:val="22"/>
        </w:rPr>
      </w:pPr>
    </w:p>
    <w:p w14:paraId="1CE638C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continuación, se representa la relación que tiene la presente iniciativa con la consecución de los Objetivos de Desarrollo Sostenible (ODS) para el año 2030:</w:t>
      </w:r>
    </w:p>
    <w:tbl>
      <w:tblPr>
        <w:tblStyle w:val="aff0"/>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46"/>
        <w:gridCol w:w="2946"/>
        <w:gridCol w:w="2946"/>
      </w:tblGrid>
      <w:tr w:rsidR="004D0443" w14:paraId="1CE638C7" w14:textId="77777777">
        <w:trPr>
          <w:trHeight w:val="315"/>
        </w:trPr>
        <w:tc>
          <w:tcPr>
            <w:tcW w:w="2946"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C4"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Objetivo de Desarrollo Sostenible (ODS)</w:t>
            </w:r>
          </w:p>
        </w:tc>
        <w:tc>
          <w:tcPr>
            <w:tcW w:w="2946" w:type="dxa"/>
            <w:tcBorders>
              <w:top w:val="single" w:sz="6" w:space="0" w:color="000000"/>
              <w:left w:val="single" w:sz="6" w:space="0" w:color="CCCCCC"/>
              <w:bottom w:val="single" w:sz="6" w:space="0" w:color="000000"/>
              <w:right w:val="single" w:sz="6" w:space="0" w:color="000000"/>
            </w:tcBorders>
            <w:shd w:val="clear" w:color="auto" w:fill="D9EAD3"/>
            <w:tcMar>
              <w:top w:w="40" w:type="dxa"/>
              <w:left w:w="40" w:type="dxa"/>
              <w:bottom w:w="40" w:type="dxa"/>
              <w:right w:w="40" w:type="dxa"/>
            </w:tcMar>
            <w:vAlign w:val="center"/>
          </w:tcPr>
          <w:p w14:paraId="1CE638C5"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Meta Específica del ODS</w:t>
            </w:r>
          </w:p>
        </w:tc>
        <w:tc>
          <w:tcPr>
            <w:tcW w:w="2946" w:type="dxa"/>
            <w:tcBorders>
              <w:top w:val="single" w:sz="6" w:space="0" w:color="000000"/>
              <w:left w:val="single" w:sz="6" w:space="0" w:color="CCCCCC"/>
              <w:bottom w:val="single" w:sz="6" w:space="0" w:color="000000"/>
              <w:right w:val="single" w:sz="6" w:space="0" w:color="000000"/>
            </w:tcBorders>
            <w:shd w:val="clear" w:color="auto" w:fill="D9EAD3"/>
            <w:tcMar>
              <w:top w:w="40" w:type="dxa"/>
              <w:left w:w="40" w:type="dxa"/>
              <w:bottom w:w="40" w:type="dxa"/>
              <w:right w:w="40" w:type="dxa"/>
            </w:tcMar>
            <w:vAlign w:val="center"/>
          </w:tcPr>
          <w:p w14:paraId="1CE638C6"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Relación con el Proyecto de Acuerdo</w:t>
            </w:r>
          </w:p>
        </w:tc>
      </w:tr>
      <w:tr w:rsidR="004D0443" w14:paraId="1CE638CB" w14:textId="77777777">
        <w:trPr>
          <w:trHeight w:val="199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C8"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8: Trabajo decente y crecimiento económico</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9"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8.3</w:t>
            </w:r>
            <w:r>
              <w:rPr>
                <w:rFonts w:ascii="Times New Roman" w:eastAsia="Times New Roman" w:hAnsi="Times New Roman" w:cs="Times New Roman"/>
                <w:sz w:val="20"/>
                <w:szCs w:val="20"/>
                <w:vertAlign w:val="superscript"/>
              </w:rPr>
              <w:footnoteReference w:id="76"/>
            </w:r>
            <w:r>
              <w:rPr>
                <w:rFonts w:ascii="Times New Roman" w:eastAsia="Times New Roman" w:hAnsi="Times New Roman" w:cs="Times New Roman"/>
                <w:sz w:val="20"/>
                <w:szCs w:val="20"/>
              </w:rPr>
              <w:t>: Promover políticas orientadas al desarrollo que apoyen las actividades productivas, la creación de empleo decente, el emprendimiento, la creatividad y la innovación, y fomenten la formalización y el crecimiento de las microempresas y pequeñas y medianas empresas, incluidos mediante el acceso a servicios financieros.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A"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Las disposiciones del proyecto buscan fortalecer el ecosistema emprendedor en Bogotá mediante el apoyo a startups, incluyendo el acceso a financiamiento y asesoramiento, promoviendo así el empleo y el emprendimiento en sectores innovadores.</w:t>
            </w:r>
          </w:p>
        </w:tc>
      </w:tr>
      <w:tr w:rsidR="004D0443" w14:paraId="1CE638CF" w14:textId="77777777">
        <w:trPr>
          <w:trHeight w:val="151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CC"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9: Industria, innovación e infraestructura</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D"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9.3</w:t>
            </w:r>
            <w:r>
              <w:rPr>
                <w:rFonts w:ascii="Times New Roman" w:eastAsia="Times New Roman" w:hAnsi="Times New Roman" w:cs="Times New Roman"/>
                <w:sz w:val="20"/>
                <w:szCs w:val="20"/>
                <w:vertAlign w:val="superscript"/>
              </w:rPr>
              <w:footnoteReference w:id="77"/>
            </w:r>
            <w:r>
              <w:rPr>
                <w:rFonts w:ascii="Times New Roman" w:eastAsia="Times New Roman" w:hAnsi="Times New Roman" w:cs="Times New Roman"/>
                <w:sz w:val="20"/>
                <w:szCs w:val="20"/>
              </w:rPr>
              <w:t>: Aumentar el acceso de las pequeñas industrias y otras empresas, particularmente en países en desarrollo, a servicios financieros, incluidos créditos asequibles, y su integración en las cadenas de valor y mercados.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E"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facilita el acceso a recursos financieros y asesoría especializada para startups, integrándolas efectivamente en la cadena de valor local e internacional, lo que potencia su crecimiento y sostenibilidad.</w:t>
            </w:r>
          </w:p>
        </w:tc>
      </w:tr>
      <w:tr w:rsidR="004D0443" w14:paraId="1CE638D3" w14:textId="77777777">
        <w:trPr>
          <w:trHeight w:val="127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D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11: Ciudades y comunidades sostenibles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11.3</w:t>
            </w:r>
            <w:r>
              <w:rPr>
                <w:rFonts w:ascii="Times New Roman" w:eastAsia="Times New Roman" w:hAnsi="Times New Roman" w:cs="Times New Roman"/>
                <w:sz w:val="20"/>
                <w:szCs w:val="20"/>
                <w:vertAlign w:val="superscript"/>
              </w:rPr>
              <w:footnoteReference w:id="78"/>
            </w:r>
            <w:r>
              <w:rPr>
                <w:rFonts w:ascii="Times New Roman" w:eastAsia="Times New Roman" w:hAnsi="Times New Roman" w:cs="Times New Roman"/>
                <w:sz w:val="20"/>
                <w:szCs w:val="20"/>
              </w:rPr>
              <w:t>: Mejorar la inclusión urbana y la capacidad para la planificación y gestión participativa, integrada y sostenible de los asentamientos humanos en todos los países.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A través del desarrollo y consolidación de startups, especialmente en sectores como PropTech y EnergyTech, se contribuye a la creación de soluciones innovadoras para una gestión urbana sostenible y participativa.</w:t>
            </w:r>
          </w:p>
        </w:tc>
      </w:tr>
      <w:tr w:rsidR="004D0443" w14:paraId="1CE638D7" w14:textId="77777777">
        <w:trPr>
          <w:trHeight w:val="199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D4"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17: Alianzas para lograr los objetivos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5"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17.16</w:t>
            </w:r>
            <w:r>
              <w:rPr>
                <w:rFonts w:ascii="Times New Roman" w:eastAsia="Times New Roman" w:hAnsi="Times New Roman" w:cs="Times New Roman"/>
                <w:sz w:val="20"/>
                <w:szCs w:val="20"/>
                <w:vertAlign w:val="superscript"/>
              </w:rPr>
              <w:footnoteReference w:id="79"/>
            </w:r>
            <w:r>
              <w:rPr>
                <w:rFonts w:ascii="Times New Roman" w:eastAsia="Times New Roman" w:hAnsi="Times New Roman" w:cs="Times New Roman"/>
                <w:sz w:val="20"/>
                <w:szCs w:val="20"/>
              </w:rPr>
              <w:t>: Mejorar la Alianza Mundial para el Desarrollo Sostenible, complementada por alianzas multiactor que movilicen e intercambien conocimientos, experiencia, tecnología y recursos financieros, a fin de apoyar el logro de los objetivos de desarrollo sostenible en todos los países, particularmente los países en desarrollo.</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6"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promueve alianzas entre el sector público, privado y la academia para fomentar la innovación y el desarrollo tecnológico, facilitando el intercambio de conocimientos y recursos que impulsen los Objetivos de Desarrollo Sostenible.</w:t>
            </w:r>
          </w:p>
        </w:tc>
      </w:tr>
    </w:tbl>
    <w:p w14:paraId="1CE638D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Fuente: Elaboración propia.</w:t>
      </w:r>
    </w:p>
    <w:p w14:paraId="1CE638D9" w14:textId="77777777" w:rsidR="004D0443" w:rsidRDefault="004D0443">
      <w:pPr>
        <w:spacing w:line="276" w:lineRule="auto"/>
        <w:jc w:val="both"/>
        <w:rPr>
          <w:rFonts w:ascii="Times New Roman" w:eastAsia="Times New Roman" w:hAnsi="Times New Roman" w:cs="Times New Roman"/>
          <w:b/>
          <w:sz w:val="22"/>
          <w:szCs w:val="22"/>
        </w:rPr>
      </w:pPr>
    </w:p>
    <w:p w14:paraId="1CE638DA"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4. RELACIÓN DE LA INICIATIVA CON EL ARTICULADO DEL PLAN DISTRITAL DE DESARROLLO</w:t>
      </w:r>
    </w:p>
    <w:p w14:paraId="1CE638DB"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presente iniciativa se relaciona con varias disposiciones del Plan Distrital de Desarrollo 2024 - 2027 “Bogotá Camina Segura”, como se sintetiza a continuación:</w:t>
      </w:r>
    </w:p>
    <w:tbl>
      <w:tblPr>
        <w:tblStyle w:val="aff1"/>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46"/>
        <w:gridCol w:w="2946"/>
        <w:gridCol w:w="2946"/>
      </w:tblGrid>
      <w:tr w:rsidR="004D0443" w14:paraId="1CE638DF" w14:textId="77777777">
        <w:trPr>
          <w:trHeight w:val="315"/>
        </w:trPr>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C"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Artículo del PDD (Acuerdo 927 de 2024)</w:t>
            </w:r>
            <w:r>
              <w:rPr>
                <w:rFonts w:ascii="Times New Roman" w:eastAsia="Times New Roman" w:hAnsi="Times New Roman" w:cs="Times New Roman"/>
                <w:b/>
                <w:sz w:val="20"/>
                <w:szCs w:val="20"/>
                <w:vertAlign w:val="superscript"/>
              </w:rPr>
              <w:footnoteReference w:id="80"/>
            </w:r>
          </w:p>
        </w:tc>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D"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Descripción del artículo</w:t>
            </w:r>
          </w:p>
        </w:tc>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E"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 xml:space="preserve">Relación del Proyecto de Acuerdo </w:t>
            </w:r>
          </w:p>
        </w:tc>
      </w:tr>
      <w:tr w:rsidR="004D0443" w14:paraId="1CE638E3" w14:textId="77777777">
        <w:trPr>
          <w:trHeight w:val="175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4: Objetivos estratégicos del Plan Distrital</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Este artículo establece como objetivo consolidar a Bogotá como una ciudad competitiva basada en la ciencia, tecnología e innovación, promoviendo el emprendimiento y el crecimiento económico.</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presente proyecto se alinea directamente con este objetivo al apoyar la creación de startups innovadoras, posicionando a Bogotá como un centro tecnológico y de innovación, fomentando la competitividad en sectores como Fintech y PropTech​.</w:t>
            </w:r>
          </w:p>
        </w:tc>
      </w:tr>
      <w:tr w:rsidR="004D0443" w14:paraId="1CE638E7" w14:textId="77777777">
        <w:trPr>
          <w:trHeight w:val="2280"/>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4"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86: Campus de Ciencia, Tecnología e Innovación de Bogotá (CTIB)</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5"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Desarrollar un campus que integre a startups, empresas, y academia en un espacio colaborativo para fomentar la innovación.</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6"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presente proyecto  está vinculado con la creación del campus CTeI, ya que facilitará el acceso a infraestructura tecnológica avanzada y promoverá la colaboración entre emprendedores, investigadores y actores clave en el ecosistema de innovación​.</w:t>
            </w:r>
          </w:p>
        </w:tc>
      </w:tr>
      <w:tr w:rsidR="004D0443" w14:paraId="1CE638EB" w14:textId="77777777">
        <w:trPr>
          <w:trHeight w:val="151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8"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85: Agencia Distrital para la Educación Superior, Ciencia y Tecnología (Atenea)</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9"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Modificación del objeto de la Agencia Atenea para financiar proyectos de educación superior y ciencia, impulsando el desarrollo de nuevas tecnologías e innovación.</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A"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Las startups en virtud de esta iniciativa se beneficiarán del acceso a talento formado en áreas tecnológicas y científicas, lo que refuerza la capacidad de estas empresas emergentes para crecer y generar innovación en sectores clave como Fintech​.</w:t>
            </w:r>
          </w:p>
        </w:tc>
      </w:tr>
      <w:tr w:rsidR="004D0443" w14:paraId="1CE638EF" w14:textId="77777777">
        <w:trPr>
          <w:trHeight w:val="175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C"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96: Incentivo a la creación de empleo y la contratación incluyente</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D"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Este artículo fomenta la creación de empleo formal, particularmente mediante la inclusión de poblaciones vulnerables.</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E"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presente proyecto apoya la creación de nuevas empresas, que a su vez generan empleo formal. Además, al alinearse con los incentivos para la contratación incluyente, las startups pueden contribuir significativamente a la reducción del desempleo y la inclusión laboral​.</w:t>
            </w:r>
          </w:p>
        </w:tc>
      </w:tr>
      <w:tr w:rsidR="004D0443" w14:paraId="1CE638F3" w14:textId="77777777">
        <w:trPr>
          <w:trHeight w:val="199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F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209: Ecosistema de Innovación Pública y Govtech</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F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artículo promueve el ecosistema de innovación pública distrital, incluyendo el uso de tecnologías GovTech y la colaboración entre actores del sector público, privado y académico.</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F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refuerza este ecosistema de innovación, apoyando a startups tecnológicas que pueden contribuir al desarrollo de soluciones GovTech, facilitando la colaboración entre emprendedores y el sector público para modernizar la gestión gubernamental​.</w:t>
            </w:r>
          </w:p>
        </w:tc>
      </w:tr>
    </w:tbl>
    <w:p w14:paraId="1CE638F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18"/>
          <w:szCs w:val="18"/>
        </w:rPr>
        <w:t>Fuente: Elaboración propia.</w:t>
      </w:r>
      <w:r>
        <w:rPr>
          <w:rFonts w:ascii="Times New Roman" w:eastAsia="Times New Roman" w:hAnsi="Times New Roman" w:cs="Times New Roman"/>
          <w:b/>
          <w:sz w:val="22"/>
          <w:szCs w:val="22"/>
        </w:rPr>
        <w:br/>
      </w:r>
      <w:r>
        <w:rPr>
          <w:rFonts w:ascii="Times New Roman" w:eastAsia="Times New Roman" w:hAnsi="Times New Roman" w:cs="Times New Roman"/>
          <w:b/>
          <w:sz w:val="22"/>
          <w:szCs w:val="22"/>
        </w:rPr>
        <w:br/>
        <w:t>5. RELACIÓN DE LA INICIATIVA CON EL PLAN NACIONAL DE DESARROLLO</w:t>
      </w:r>
    </w:p>
    <w:p w14:paraId="1CE638F5" w14:textId="77777777" w:rsidR="004D0443" w:rsidRDefault="004D0443">
      <w:pPr>
        <w:spacing w:line="276" w:lineRule="auto"/>
        <w:jc w:val="both"/>
        <w:rPr>
          <w:rFonts w:ascii="Times New Roman" w:eastAsia="Times New Roman" w:hAnsi="Times New Roman" w:cs="Times New Roman"/>
          <w:b/>
          <w:sz w:val="22"/>
          <w:szCs w:val="22"/>
        </w:rPr>
      </w:pPr>
    </w:p>
    <w:p w14:paraId="1CE638F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presente Proyecto de Acuerdo también se relaciona con el Plan Nacional de Desarrollo 2022 - 2026 “Colombia Potencia Mundial de la Vida” como se presenta a continuación:</w:t>
      </w:r>
    </w:p>
    <w:p w14:paraId="1CE638F7" w14:textId="77777777" w:rsidR="004D0443" w:rsidRDefault="004D0443">
      <w:pPr>
        <w:spacing w:line="276" w:lineRule="auto"/>
        <w:jc w:val="both"/>
        <w:rPr>
          <w:rFonts w:ascii="Times New Roman" w:eastAsia="Times New Roman" w:hAnsi="Times New Roman" w:cs="Times New Roman"/>
          <w:sz w:val="22"/>
          <w:szCs w:val="22"/>
        </w:rPr>
      </w:pPr>
    </w:p>
    <w:sdt>
      <w:sdtPr>
        <w:tag w:val="goog_rdk_0"/>
        <w:id w:val="247001193"/>
        <w:lock w:val="contentLocked"/>
      </w:sdtPr>
      <w:sdtEndPr/>
      <w:sdtContent>
        <w:tbl>
          <w:tblPr>
            <w:tblStyle w:val="aff2"/>
            <w:tblW w:w="8842" w:type="dxa"/>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948"/>
            <w:gridCol w:w="2947"/>
            <w:gridCol w:w="2947"/>
          </w:tblGrid>
          <w:tr w:rsidR="004D0443" w14:paraId="1CE638FB" w14:textId="77777777">
            <w:trPr>
              <w:jc w:val="center"/>
            </w:trPr>
            <w:tc>
              <w:tcPr>
                <w:tcW w:w="2948"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8"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Eje</w:t>
                </w:r>
              </w:p>
            </w:tc>
            <w:tc>
              <w:tcPr>
                <w:tcW w:w="2947"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9"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Meta</w:t>
                </w:r>
                <w:r>
                  <w:rPr>
                    <w:rFonts w:ascii="Times New Roman" w:eastAsia="Times New Roman" w:hAnsi="Times New Roman" w:cs="Times New Roman"/>
                    <w:b/>
                    <w:sz w:val="20"/>
                    <w:szCs w:val="20"/>
                    <w:vertAlign w:val="superscript"/>
                  </w:rPr>
                  <w:footnoteReference w:id="81"/>
                </w:r>
              </w:p>
            </w:tc>
            <w:tc>
              <w:tcPr>
                <w:tcW w:w="2947"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A"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Relación con el Proyecto de Acuerdo</w:t>
                </w:r>
              </w:p>
            </w:tc>
          </w:tr>
          <w:tr w:rsidR="004D0443" w14:paraId="1CE638FF" w14:textId="77777777">
            <w:trPr>
              <w:jc w:val="center"/>
            </w:trPr>
            <w:tc>
              <w:tcPr>
                <w:tcW w:w="29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C"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Derecho Humano a la alimentación</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Producción para la vida: Aumentar en 10,38% la producción de cadenas agrícolas priorizadas para el Derecho Humano a la Alimentación</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El impulso de las agrotech genera un canal para conectar de manera eficiente la oferta y demanda de productos agrícolas, lo cual optimiza procesos de comercialización y la consolidación de condiciones y precios más justos para los campesinos. Asimismo, este tipo de startups proporciona acceso a créditos y financiamientos de una manera más sencilla así como el acceso a nuevas tecnologías que permiten mejor rendimiento de los cultivos, prevención de afectaciones climáticas y uso de insumos de mejor calidad y menor costo, lo cual permite a los agricultores y sectores involucrados tener mayor producción y por ende generar mayor oferta de alimentos. </w:t>
                </w:r>
                <w:r>
                  <w:rPr>
                    <w:rFonts w:ascii="Times New Roman" w:eastAsia="Times New Roman" w:hAnsi="Times New Roman" w:cs="Times New Roman"/>
                    <w:sz w:val="20"/>
                    <w:szCs w:val="20"/>
                    <w:vertAlign w:val="superscript"/>
                  </w:rPr>
                  <w:footnoteReference w:id="82"/>
                </w:r>
              </w:p>
            </w:tc>
          </w:tr>
          <w:tr w:rsidR="004D0443" w14:paraId="1CE63903" w14:textId="77777777">
            <w:trPr>
              <w:jc w:val="center"/>
            </w:trPr>
            <w:tc>
              <w:tcPr>
                <w:tcW w:w="29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0"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Ordenamiento del territorio alrededor del agua y la justicia ambiental</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1"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Formalización de las propiedades rurales pequeñas y medianas: alcanzar 3.9 millones de hectáreas formalizadas al final del cuatrienio</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2"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Actualmente, existen startups como "Suyo", cuyo propósito se enfoca en potenciar la formalización y titulación de tierras a través de la simplificación de procesos y conexión de personas que buscan la restitución de tierras y formalización de propiedades con los programas gubernamentales reduciendo obstáculos burocráticos y movilización de subsidios por medio de la georreferenciación y tecnología blockchain que puede garantizar seguridad jurídica de las tierras.</w:t>
                </w:r>
                <w:r>
                  <w:rPr>
                    <w:rFonts w:ascii="Times New Roman" w:eastAsia="Times New Roman" w:hAnsi="Times New Roman" w:cs="Times New Roman"/>
                    <w:sz w:val="20"/>
                    <w:szCs w:val="20"/>
                    <w:vertAlign w:val="superscript"/>
                  </w:rPr>
                  <w:footnoteReference w:id="83"/>
                </w:r>
              </w:p>
            </w:tc>
          </w:tr>
          <w:tr w:rsidR="004D0443" w14:paraId="1CE63907"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4"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Convergencia regional</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5"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Más hogares con vivienda: reducir a un 26% el número de hogares con déficit habitacional en el país</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6"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Las startups por medio de tecnología modular que hace el proceso de construcción más eficiente y rápido, reduce los costos de edificación haciendo que la vivienda sea más asequible para aquellas familias más vulnerables. De igual forma, las startups PropTech, logran conectar familias sin vivienda con oportunidades estatales pero también mejoran las condiciones de acceso a créditos de vivienda</w:t>
                </w:r>
                <w:r>
                  <w:rPr>
                    <w:rFonts w:ascii="Times New Roman" w:eastAsia="Times New Roman" w:hAnsi="Times New Roman" w:cs="Times New Roman"/>
                    <w:sz w:val="20"/>
                    <w:szCs w:val="20"/>
                    <w:vertAlign w:val="superscript"/>
                  </w:rPr>
                  <w:footnoteReference w:id="84"/>
                </w:r>
                <w:r>
                  <w:rPr>
                    <w:rFonts w:ascii="Times New Roman" w:eastAsia="Times New Roman" w:hAnsi="Times New Roman" w:cs="Times New Roman"/>
                    <w:sz w:val="20"/>
                    <w:szCs w:val="20"/>
                  </w:rPr>
                  <w:t xml:space="preserve"> eliminando barreras que limitan la adquisición de vivienda digna. </w:t>
                </w:r>
              </w:p>
            </w:tc>
          </w:tr>
          <w:tr w:rsidR="004D0443" w14:paraId="1CE6390B"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8"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9"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Fortalecer capacidad logística: reducir el costo logístico sobre las ventas en 10,1 puntos porcentuales. </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A"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Las startups Logtech contribuyen de manera directa a la reducción de costos en las cadenas de suministro, desde la optimización de rutas y transporte, uso de energía, gestión administrativa y reducción de la dependencia de procesos manuales que pasan a ser procesos basados en la inteligencia artificial y big data que agilizan y automatizan los procesos necesarios para el buen funcionamiento de las empresas.</w:t>
                </w:r>
              </w:p>
            </w:tc>
          </w:tr>
          <w:tr w:rsidR="004D0443" w14:paraId="1CE6390F"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C"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Transformación productiva, internacionalización y acción climática</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Transición energética para la vida: utilizar excedentes financieros del carbón y del petróleo para hacer una transición energética que lleve al país hacia la economía verde</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Generar condiciones óptimas para el aumento de las EnergyTech  impulsa la transición energética por medio del sector privado generando que la oferta de energía alternativa y la medición de su uso ofrecida por startups como Erco Energy y Decimetrix sea más competitiva en el mercado y por ende sea una opción más apetecida por las empresas para disminuir su dependencia a combustibles tradicionales. </w:t>
                </w:r>
              </w:p>
            </w:tc>
          </w:tr>
          <w:tr w:rsidR="004D0443" w14:paraId="1CE63913"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0"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1"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Diversificación de exportaciones: incrementar al 56,3% la participación de las exportaciones de bienes no minero energéticos y servicios en el total de exportaciones</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2"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 productividad que generan las startups en los sectores en los que se encuentra involucradas no solo permite aumentar la producción de bienes para alcanzar niveles suficientes para la exportación si no que además aumenta su competitividad en precios y calidad en el mercado internacional gracias a la innovación que se encuentra detrás de este tipo de empresas</w:t>
                </w:r>
              </w:p>
            </w:tc>
          </w:tr>
          <w:tr w:rsidR="004D0443" w14:paraId="1CE63917"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4"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5"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Reindustrialización intensiva en conocimiento y tecnología: duplicar inversión del país en I+D y llegar al 0,5% de la participación de la inversión en dicho sector en el PIB</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6"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 creación de un ecosistema más favorable para el nacimiento y crecimiento de startups actúa como un catalizador que impulsa la tecnología, innovación, productividad, investigación y conocimiento, no solo en el sector en el que opera cada startup, sino también en los sectores que proveen insumos y aquellos que utilizan sus bienes y servicios. Este enfoque no solo potencia la eficiencia y competitividad en múltiples áreas, sino que también atrae inversión, beneficiando a todos los sectores involucrados y promoviendo un desarrollo económico más integrado y sostenible.</w:t>
                </w:r>
              </w:p>
            </w:tc>
          </w:tr>
          <w:tr w:rsidR="004D0443" w14:paraId="1CE6391B"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8"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Seguridad humana y justicia social</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9"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Reducir pobreza multidimensional para llegar a un rango entre 11,5% y 9,5% </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A"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Facilitar el acceso a recursos y habilidades para la creación de startups permitiría que individuos interesados en abordar problemas en comunidades vulnerables lo hagan efectivamente a través de la tecnología. Startups como Litro de Luz, Terriformaciones y Tierra Grata son ejemplos de este enfoque, ya que brindan acceso a servicios esenciales como alumbrado público, wifi, viviendas a bajo costo, y agua y saneamiento, co-creados con comunidades que carecen de servicios básicos.</w:t>
                </w:r>
                <w:r>
                  <w:rPr>
                    <w:rFonts w:ascii="Times New Roman" w:eastAsia="Times New Roman" w:hAnsi="Times New Roman" w:cs="Times New Roman"/>
                    <w:sz w:val="20"/>
                    <w:szCs w:val="20"/>
                    <w:vertAlign w:val="superscript"/>
                  </w:rPr>
                  <w:footnoteReference w:id="85"/>
                </w:r>
                <w:r>
                  <w:rPr>
                    <w:rFonts w:ascii="Times New Roman" w:eastAsia="Times New Roman" w:hAnsi="Times New Roman" w:cs="Times New Roman"/>
                    <w:sz w:val="20"/>
                    <w:szCs w:val="20"/>
                  </w:rPr>
                  <w:t xml:space="preserve"> Esta estrategia podría ser un canal eficaz para reducir la pobreza multidimensional.</w:t>
                </w:r>
              </w:p>
            </w:tc>
          </w:tr>
          <w:tr w:rsidR="004D0443" w14:paraId="1CE6391F"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C"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Impulsar economía popular: aumentar en un 6% los ingresos de micronegocios</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Las Fintech que promueven el acceso a servicios financieros y crédito pueden ayudar a impulsar los micronegocios que conforman la economía popular no solo aumentando el capital para su crecimiento sino también corrigiendo ineficiencias del mercado como las asimetrías de información que dificultan la conexión entre oferta y demanda de los bienes y servicios que estas microempresas ofrecen.</w:t>
                </w:r>
              </w:p>
            </w:tc>
          </w:tr>
        </w:tbl>
      </w:sdtContent>
    </w:sdt>
    <w:p w14:paraId="1CE63920" w14:textId="77777777" w:rsidR="004D0443" w:rsidRDefault="00DA3067">
      <w:pPr>
        <w:spacing w:line="276"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Fuente: Elaboración propia.</w:t>
      </w:r>
    </w:p>
    <w:p w14:paraId="1CE63921" w14:textId="77777777" w:rsidR="004D0443" w:rsidRDefault="004D0443">
      <w:pPr>
        <w:spacing w:line="276" w:lineRule="auto"/>
        <w:jc w:val="center"/>
        <w:rPr>
          <w:rFonts w:ascii="Times New Roman" w:eastAsia="Times New Roman" w:hAnsi="Times New Roman" w:cs="Times New Roman"/>
          <w:b/>
          <w:sz w:val="22"/>
          <w:szCs w:val="22"/>
        </w:rPr>
      </w:pPr>
    </w:p>
    <w:p w14:paraId="1CE63922" w14:textId="77777777" w:rsidR="004D0443" w:rsidRDefault="004D0443">
      <w:pPr>
        <w:spacing w:line="276" w:lineRule="auto"/>
        <w:jc w:val="center"/>
        <w:rPr>
          <w:rFonts w:ascii="Times New Roman" w:eastAsia="Times New Roman" w:hAnsi="Times New Roman" w:cs="Times New Roman"/>
          <w:b/>
          <w:sz w:val="22"/>
          <w:szCs w:val="22"/>
        </w:rPr>
      </w:pPr>
    </w:p>
    <w:p w14:paraId="1CE63923" w14:textId="77777777" w:rsidR="004D0443" w:rsidRDefault="004D0443">
      <w:pPr>
        <w:spacing w:line="276" w:lineRule="auto"/>
        <w:jc w:val="center"/>
        <w:rPr>
          <w:rFonts w:ascii="Times New Roman" w:eastAsia="Times New Roman" w:hAnsi="Times New Roman" w:cs="Times New Roman"/>
          <w:b/>
          <w:sz w:val="22"/>
          <w:szCs w:val="22"/>
        </w:rPr>
      </w:pPr>
    </w:p>
    <w:p w14:paraId="1CE63924" w14:textId="77777777" w:rsidR="004D0443" w:rsidRDefault="004D0443">
      <w:pPr>
        <w:spacing w:line="276" w:lineRule="auto"/>
        <w:jc w:val="center"/>
        <w:rPr>
          <w:rFonts w:ascii="Times New Roman" w:eastAsia="Times New Roman" w:hAnsi="Times New Roman" w:cs="Times New Roman"/>
          <w:b/>
          <w:sz w:val="22"/>
          <w:szCs w:val="22"/>
        </w:rPr>
      </w:pPr>
    </w:p>
    <w:p w14:paraId="1CE63925"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6. ANÁLISIS JURÍDICO DE LA INICIATIVA</w:t>
      </w:r>
    </w:p>
    <w:p w14:paraId="1CE63926" w14:textId="77777777" w:rsidR="004D0443" w:rsidRDefault="004D0443">
      <w:pPr>
        <w:spacing w:line="276" w:lineRule="auto"/>
        <w:jc w:val="center"/>
        <w:rPr>
          <w:rFonts w:ascii="Times New Roman" w:eastAsia="Times New Roman" w:hAnsi="Times New Roman" w:cs="Times New Roman"/>
          <w:b/>
          <w:sz w:val="22"/>
          <w:szCs w:val="22"/>
        </w:rPr>
      </w:pPr>
    </w:p>
    <w:p w14:paraId="1CE63927" w14:textId="77777777" w:rsidR="004D0443" w:rsidRDefault="00DA3067">
      <w:pPr>
        <w:spacing w:line="276" w:lineRule="auto"/>
        <w:jc w:val="both"/>
        <w:rPr>
          <w:rFonts w:ascii="Times New Roman" w:eastAsia="Times New Roman" w:hAnsi="Times New Roman" w:cs="Times New Roman"/>
          <w:b/>
          <w:sz w:val="22"/>
          <w:szCs w:val="22"/>
          <w:highlight w:val="cyan"/>
        </w:rPr>
      </w:pPr>
      <w:r>
        <w:rPr>
          <w:rFonts w:ascii="Times New Roman" w:eastAsia="Times New Roman" w:hAnsi="Times New Roman" w:cs="Times New Roman"/>
          <w:sz w:val="22"/>
          <w:szCs w:val="22"/>
        </w:rPr>
        <w:t>A continuación, se relacionan las normas jurídicas que fundamentan la presente iniciativa tanto del bloque de convencionalidad y la Constitución Política como de rango legal y reglamentario, las cuales están vinculadas con el fomento del emprendimiento y el desarrollo económico.</w:t>
      </w:r>
    </w:p>
    <w:p w14:paraId="1CE63928"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1" w:name="_heading=h.71j0f4dcke8v" w:colFirst="0" w:colLast="0"/>
      <w:bookmarkEnd w:id="1"/>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.1. Bloque de </w:t>
      </w:r>
      <w:r>
        <w:rPr>
          <w:rFonts w:ascii="Times New Roman" w:eastAsia="Times New Roman" w:hAnsi="Times New Roman" w:cs="Times New Roman"/>
          <w:b/>
          <w:sz w:val="22"/>
          <w:szCs w:val="22"/>
        </w:rPr>
        <w:t>c</w:t>
      </w:r>
      <w:r>
        <w:rPr>
          <w:rFonts w:ascii="Times New Roman" w:eastAsia="Times New Roman" w:hAnsi="Times New Roman" w:cs="Times New Roman"/>
          <w:b/>
          <w:color w:val="000000"/>
          <w:sz w:val="22"/>
          <w:szCs w:val="22"/>
        </w:rPr>
        <w:t>onvencionalidad</w:t>
      </w:r>
    </w:p>
    <w:p w14:paraId="1CE6392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Pacto Internacional de Derechos Económicos, Sociales y Culturales (PIDESC) (1966), aprobado mediante la Ley 74 de 1968, establece en su artículo 6 el derecho al trabajo, lo cual respalda el emprendimiento y la innovación como medios para garantizar el derecho a un empleo digno y a la libertad económica (Asamblea General de las Naciones Unidas, 1966)</w:t>
      </w:r>
      <w:r>
        <w:rPr>
          <w:rFonts w:ascii="Times New Roman" w:eastAsia="Times New Roman" w:hAnsi="Times New Roman" w:cs="Times New Roman"/>
          <w:sz w:val="22"/>
          <w:szCs w:val="22"/>
          <w:vertAlign w:val="superscript"/>
        </w:rPr>
        <w:footnoteReference w:id="86"/>
      </w:r>
      <w:r>
        <w:rPr>
          <w:rFonts w:ascii="Times New Roman" w:eastAsia="Times New Roman" w:hAnsi="Times New Roman" w:cs="Times New Roman"/>
          <w:sz w:val="22"/>
          <w:szCs w:val="22"/>
        </w:rPr>
        <w:t>.</w:t>
      </w:r>
    </w:p>
    <w:p w14:paraId="1CE6392A"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6.1. Los Estados Partes en el presente Pacto reconocen el derecho a trabajar, que comprende el derecho de toda persona a ganarse la vida mediante un trabajo libremente escogido o aceptado, y tomarán medidas adecuadas para salvaguardar este derecho</w:t>
      </w:r>
      <w:r>
        <w:rPr>
          <w:rFonts w:ascii="Times New Roman" w:eastAsia="Times New Roman" w:hAnsi="Times New Roman" w:cs="Times New Roman"/>
          <w:sz w:val="22"/>
          <w:szCs w:val="22"/>
        </w:rPr>
        <w:t>” (Asamblea General de las Naciones Unidas, 1966)</w:t>
      </w:r>
      <w:r>
        <w:rPr>
          <w:rFonts w:ascii="Times New Roman" w:eastAsia="Times New Roman" w:hAnsi="Times New Roman" w:cs="Times New Roman"/>
          <w:sz w:val="22"/>
          <w:szCs w:val="22"/>
          <w:vertAlign w:val="superscript"/>
        </w:rPr>
        <w:footnoteReference w:id="87"/>
      </w:r>
      <w:r>
        <w:rPr>
          <w:rFonts w:ascii="Times New Roman" w:eastAsia="Times New Roman" w:hAnsi="Times New Roman" w:cs="Times New Roman"/>
          <w:sz w:val="22"/>
          <w:szCs w:val="22"/>
        </w:rPr>
        <w:t>.</w:t>
      </w:r>
    </w:p>
    <w:p w14:paraId="1CE6392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Convención Americana sobre Derechos Humanos (CADH) (1969), aprobada mediante la Ley 16 de 1972, consagra en su artículo 26 el derecho que tienen todas las personas al desarrollo como un derecho económico, así:</w:t>
      </w:r>
    </w:p>
    <w:p w14:paraId="1CE6392C" w14:textId="77777777" w:rsidR="004D0443" w:rsidRDefault="00DA3067">
      <w:pPr>
        <w:spacing w:before="240" w:after="240"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“Artículo 26. Desarrollo Progresivo Los Estados partes se comprometen a adoptar providencias, tanto a nivel interno como mediante la cooperación internacional, especialmente económica y técnica, para lograr progresivamente la plena efectividad de los derechos que se derivan de las normas económicas, sociales y sobre educación, ciencia y cultura, contenidas en la Carta de la Organización de los Estados Americanos, reformada por el Protocolo de Buenos Aires, en la medida de los recursos disponibles, por vía legislativa u otros medios apropiados</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88"/>
      </w:r>
      <w:r>
        <w:rPr>
          <w:rFonts w:ascii="Times New Roman" w:eastAsia="Times New Roman" w:hAnsi="Times New Roman" w:cs="Times New Roman"/>
          <w:sz w:val="22"/>
          <w:szCs w:val="22"/>
        </w:rPr>
        <w:t xml:space="preserve">. </w:t>
      </w:r>
    </w:p>
    <w:p w14:paraId="1CE6392D" w14:textId="77777777" w:rsidR="004D0443" w:rsidRDefault="004D0443">
      <w:pPr>
        <w:spacing w:before="240" w:after="240" w:line="276" w:lineRule="auto"/>
        <w:jc w:val="both"/>
        <w:rPr>
          <w:rFonts w:ascii="Times New Roman" w:eastAsia="Times New Roman" w:hAnsi="Times New Roman" w:cs="Times New Roman"/>
          <w:sz w:val="22"/>
          <w:szCs w:val="22"/>
        </w:rPr>
      </w:pPr>
    </w:p>
    <w:p w14:paraId="1CE6392E"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2" w:name="_heading=h.j61k38b8w3kn" w:colFirst="0" w:colLast="0"/>
      <w:bookmarkEnd w:id="2"/>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.2. Constitución Política</w:t>
      </w:r>
    </w:p>
    <w:p w14:paraId="1CE6392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Constitución Política de Colombia de 1991 adopta el modelo de Estado Social de Derecho junto con la apertura a la economía de mercado. En virtud de lo anterior, en el marco de sus disposiciones se cuenta con una “</w:t>
      </w:r>
      <w:r>
        <w:rPr>
          <w:rFonts w:ascii="Times New Roman" w:eastAsia="Times New Roman" w:hAnsi="Times New Roman" w:cs="Times New Roman"/>
          <w:i/>
          <w:sz w:val="22"/>
          <w:szCs w:val="22"/>
        </w:rPr>
        <w:t>Constitución Económica</w:t>
      </w:r>
      <w:r>
        <w:rPr>
          <w:rFonts w:ascii="Times New Roman" w:eastAsia="Times New Roman" w:hAnsi="Times New Roman" w:cs="Times New Roman"/>
          <w:sz w:val="22"/>
          <w:szCs w:val="22"/>
        </w:rPr>
        <w:t xml:space="preserve">”. Dentro de ella se contempla el artículo 58 constitucional que reconoce la </w:t>
      </w:r>
      <w:r>
        <w:rPr>
          <w:rFonts w:ascii="Times New Roman" w:eastAsia="Times New Roman" w:hAnsi="Times New Roman" w:cs="Times New Roman"/>
          <w:i/>
          <w:sz w:val="22"/>
          <w:szCs w:val="22"/>
        </w:rPr>
        <w:t xml:space="preserve">propiedad privada </w:t>
      </w:r>
      <w:r>
        <w:rPr>
          <w:rFonts w:ascii="Times New Roman" w:eastAsia="Times New Roman" w:hAnsi="Times New Roman" w:cs="Times New Roman"/>
          <w:sz w:val="22"/>
          <w:szCs w:val="22"/>
        </w:rPr>
        <w:t>como un derecho que está sujeto al interés público y que no puede ser desconocido ni vulnerado por leyes posteriores</w:t>
      </w:r>
    </w:p>
    <w:p w14:paraId="1CE6393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también el artículo 333 establece que “la actividad económica y la iniciativa privada son libres, dentro de los límites del bien común”. Este principio permite que las startups operen en un ambiente de libre competencia, siempre que respeten el bienestar colectivo (Asamblea Nacional Constituyente, 1991)</w:t>
      </w:r>
      <w:r>
        <w:rPr>
          <w:rFonts w:ascii="Times New Roman" w:eastAsia="Times New Roman" w:hAnsi="Times New Roman" w:cs="Times New Roman"/>
          <w:sz w:val="22"/>
          <w:szCs w:val="22"/>
          <w:vertAlign w:val="superscript"/>
        </w:rPr>
        <w:footnoteReference w:id="89"/>
      </w:r>
      <w:r>
        <w:rPr>
          <w:rFonts w:ascii="Times New Roman" w:eastAsia="Times New Roman" w:hAnsi="Times New Roman" w:cs="Times New Roman"/>
          <w:sz w:val="22"/>
          <w:szCs w:val="22"/>
        </w:rPr>
        <w:t>.</w:t>
      </w:r>
    </w:p>
    <w:p w14:paraId="1CE63931"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333. La actividad económica y la iniciativa privada son libres, dentro de los límites del bien común. Para su ejercicio, nadie podrá exigir permisos previos ni requisitos sin autorización de la ley. La libre competencia es un derecho de todos que supone responsabilidades. El Estado, por mandato de la ley, impedirá que se obstruya o se restrinja la libertad económica</w:t>
      </w:r>
      <w:r>
        <w:rPr>
          <w:rFonts w:ascii="Times New Roman" w:eastAsia="Times New Roman" w:hAnsi="Times New Roman" w:cs="Times New Roman"/>
          <w:sz w:val="22"/>
          <w:szCs w:val="22"/>
        </w:rPr>
        <w:t>” (Asamblea Nacional Constituyente, 1991)</w:t>
      </w:r>
      <w:r>
        <w:rPr>
          <w:rFonts w:ascii="Times New Roman" w:eastAsia="Times New Roman" w:hAnsi="Times New Roman" w:cs="Times New Roman"/>
          <w:sz w:val="22"/>
          <w:szCs w:val="22"/>
          <w:vertAlign w:val="superscript"/>
        </w:rPr>
        <w:footnoteReference w:id="90"/>
      </w:r>
      <w:r>
        <w:rPr>
          <w:rFonts w:ascii="Times New Roman" w:eastAsia="Times New Roman" w:hAnsi="Times New Roman" w:cs="Times New Roman"/>
          <w:sz w:val="22"/>
          <w:szCs w:val="22"/>
        </w:rPr>
        <w:t>.</w:t>
      </w:r>
    </w:p>
    <w:p w14:paraId="1CE6393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su vez, el artículo referenciado en su inciso 3 estipula que la empresa, como base del desarrollo, tiene una función social que implica obligaciones y el Estado tiene la obligación de estimular el desarrollo empresarial</w:t>
      </w:r>
      <w:r>
        <w:rPr>
          <w:rFonts w:ascii="Times New Roman" w:eastAsia="Times New Roman" w:hAnsi="Times New Roman" w:cs="Times New Roman"/>
          <w:sz w:val="22"/>
          <w:szCs w:val="22"/>
          <w:vertAlign w:val="superscript"/>
        </w:rPr>
        <w:footnoteReference w:id="91"/>
      </w:r>
      <w:r>
        <w:rPr>
          <w:rFonts w:ascii="Times New Roman" w:eastAsia="Times New Roman" w:hAnsi="Times New Roman" w:cs="Times New Roman"/>
          <w:sz w:val="22"/>
          <w:szCs w:val="22"/>
        </w:rPr>
        <w:t>.</w:t>
      </w:r>
    </w:p>
    <w:p w14:paraId="1CE63933"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3" w:name="_heading=h.fppe9y2e3yjh" w:colFirst="0" w:colLast="0"/>
      <w:bookmarkEnd w:id="3"/>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.3. Normas </w:t>
      </w:r>
      <w:r>
        <w:rPr>
          <w:rFonts w:ascii="Times New Roman" w:eastAsia="Times New Roman" w:hAnsi="Times New Roman" w:cs="Times New Roman"/>
          <w:b/>
          <w:sz w:val="22"/>
          <w:szCs w:val="22"/>
        </w:rPr>
        <w:t>l</w:t>
      </w:r>
      <w:r>
        <w:rPr>
          <w:rFonts w:ascii="Times New Roman" w:eastAsia="Times New Roman" w:hAnsi="Times New Roman" w:cs="Times New Roman"/>
          <w:b/>
          <w:color w:val="000000"/>
          <w:sz w:val="22"/>
          <w:szCs w:val="22"/>
        </w:rPr>
        <w:t>egales</w:t>
      </w:r>
    </w:p>
    <w:p w14:paraId="1CE63934"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sz w:val="22"/>
          <w:szCs w:val="22"/>
        </w:rPr>
      </w:pPr>
      <w:bookmarkStart w:id="4" w:name="_heading=h.i60kf8bzuy0b" w:colFirst="0" w:colLast="0"/>
      <w:bookmarkEnd w:id="4"/>
      <w:r>
        <w:rPr>
          <w:rFonts w:ascii="Times New Roman" w:eastAsia="Times New Roman" w:hAnsi="Times New Roman" w:cs="Times New Roman"/>
          <w:sz w:val="22"/>
          <w:szCs w:val="22"/>
        </w:rPr>
        <w:t>En primer lugar, la Ley 590 de 2000 estipula en su artículo 14 la obligación de las entidades territoriales de organizar espacios y actividades para la promoción de las mipymes en su jurisdicción:</w:t>
      </w:r>
    </w:p>
    <w:p w14:paraId="1CE63935"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5" w:name="_heading=h.lhk1ia77xjl4" w:colFirst="0" w:colLast="0"/>
      <w:bookmarkEnd w:id="5"/>
      <w:r>
        <w:rPr>
          <w:rFonts w:ascii="Times New Roman" w:eastAsia="Times New Roman" w:hAnsi="Times New Roman" w:cs="Times New Roman"/>
          <w:i/>
          <w:sz w:val="22"/>
          <w:szCs w:val="22"/>
        </w:rPr>
        <w:t>“Artículo 14. Promoción. Las entidades públicas del orden nacional y regional competentes, los departamentos, municipios y distritos promoverán coordinadamente, la organización de ferias locales y nacionales, la conformación de centros de exhibición e información permanentes, y otras actividades similares para dinamizar mercados en beneficio de las Mipymes (...)”</w:t>
      </w:r>
      <w:r>
        <w:rPr>
          <w:rFonts w:ascii="Times New Roman" w:eastAsia="Times New Roman" w:hAnsi="Times New Roman" w:cs="Times New Roman"/>
          <w:i/>
          <w:sz w:val="22"/>
          <w:szCs w:val="22"/>
          <w:vertAlign w:val="superscript"/>
        </w:rPr>
        <w:footnoteReference w:id="92"/>
      </w:r>
      <w:r>
        <w:rPr>
          <w:rFonts w:ascii="Times New Roman" w:eastAsia="Times New Roman" w:hAnsi="Times New Roman" w:cs="Times New Roman"/>
          <w:i/>
          <w:sz w:val="22"/>
          <w:szCs w:val="22"/>
        </w:rPr>
        <w:t xml:space="preserve">. </w:t>
      </w:r>
    </w:p>
    <w:p w14:paraId="1CE63936"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sz w:val="22"/>
          <w:szCs w:val="22"/>
        </w:rPr>
      </w:pPr>
      <w:bookmarkStart w:id="6" w:name="_heading=h.kyh09pe9zbo7" w:colFirst="0" w:colLast="0"/>
      <w:bookmarkEnd w:id="6"/>
      <w:r>
        <w:rPr>
          <w:rFonts w:ascii="Times New Roman" w:eastAsia="Times New Roman" w:hAnsi="Times New Roman" w:cs="Times New Roman"/>
          <w:sz w:val="22"/>
          <w:szCs w:val="22"/>
        </w:rPr>
        <w:t>En segundo lugar, la Ley 1014 de 2006 estipula diferentes medidas para el fomento del emprendimiento en el país. En particular, en su artículo 13 establece la enseñanza obligatoria en materia de emprendimiento en los colegios, en los siguientes términos:</w:t>
      </w:r>
    </w:p>
    <w:p w14:paraId="1CE63937"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7" w:name="_heading=h.5xt8o29eded3" w:colFirst="0" w:colLast="0"/>
      <w:bookmarkEnd w:id="7"/>
      <w:r>
        <w:rPr>
          <w:rFonts w:ascii="Times New Roman" w:eastAsia="Times New Roman" w:hAnsi="Times New Roman" w:cs="Times New Roman"/>
          <w:i/>
          <w:sz w:val="22"/>
          <w:szCs w:val="22"/>
        </w:rPr>
        <w:t xml:space="preserve">“Artículo 13. Enseñanza obligatoria. En todos los establecimientos oficiales o privados que ofrezcan educación formal es obligatorio en los niveles de la educación preescolar, educación básica, educación básica primaria, educación básica secundaria, y la educación media, cumplir con: </w:t>
      </w:r>
    </w:p>
    <w:p w14:paraId="1CE63938"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8" w:name="_heading=h.y10q3a5h62k8" w:colFirst="0" w:colLast="0"/>
      <w:bookmarkEnd w:id="8"/>
      <w:r>
        <w:rPr>
          <w:rFonts w:ascii="Times New Roman" w:eastAsia="Times New Roman" w:hAnsi="Times New Roman" w:cs="Times New Roman"/>
          <w:i/>
          <w:sz w:val="22"/>
          <w:szCs w:val="22"/>
        </w:rPr>
        <w:t xml:space="preserve">1. Definición de un área específica de formación para el emprendimiento y la generación de empresas, la cual debe incorporarse al currículo y desarrollarse a través de todo el plan de estudios. </w:t>
      </w:r>
    </w:p>
    <w:p w14:paraId="1CE63939"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9" w:name="_heading=h.cb4fh3b71j3o" w:colFirst="0" w:colLast="0"/>
      <w:bookmarkEnd w:id="9"/>
      <w:r>
        <w:rPr>
          <w:rFonts w:ascii="Times New Roman" w:eastAsia="Times New Roman" w:hAnsi="Times New Roman" w:cs="Times New Roman"/>
          <w:i/>
          <w:sz w:val="22"/>
          <w:szCs w:val="22"/>
        </w:rPr>
        <w:t xml:space="preserve">2. Transmitir en todos los niveles escolares conocimiento, formar actitud favorable al emprendimiento, la innovación y la creatividad y desarrollar competencias para generar empresas. </w:t>
      </w:r>
    </w:p>
    <w:p w14:paraId="1CE6393A"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10" w:name="_heading=h.973m63wbxbns" w:colFirst="0" w:colLast="0"/>
      <w:bookmarkEnd w:id="10"/>
      <w:r>
        <w:rPr>
          <w:rFonts w:ascii="Times New Roman" w:eastAsia="Times New Roman" w:hAnsi="Times New Roman" w:cs="Times New Roman"/>
          <w:i/>
          <w:sz w:val="22"/>
          <w:szCs w:val="22"/>
        </w:rPr>
        <w:t xml:space="preserve">3. Diseñar y divulgar módulos específicos sobre temas empresariales denominados "Cátedra Empresarial" que constituyan un soporte fundamental de los programas educativos de la enseñanza preescolar, educación básica, educación básica primaria, educación básica secundaria, y la educación media, con el fin de capacitar al estudiante en el desarrollo de capacidades emprendedoras para generar empresas con una visión clara de su entorno que le permita asumir retos y responsabilidades. </w:t>
      </w:r>
    </w:p>
    <w:p w14:paraId="1CE6393B"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sz w:val="22"/>
          <w:szCs w:val="22"/>
        </w:rPr>
      </w:pPr>
      <w:bookmarkStart w:id="11" w:name="_heading=h.mdaed7lbi3qy" w:colFirst="0" w:colLast="0"/>
      <w:bookmarkEnd w:id="11"/>
      <w:r>
        <w:rPr>
          <w:rFonts w:ascii="Times New Roman" w:eastAsia="Times New Roman" w:hAnsi="Times New Roman" w:cs="Times New Roman"/>
          <w:i/>
          <w:sz w:val="22"/>
          <w:szCs w:val="22"/>
        </w:rPr>
        <w:t>4. Promover actividades como ferias empresariales, foros, seminarios, macrorruedas de negocios, concursos y demás actividades orientadas a la promoción de la cultura para el emprendimiento de acuerdo a los parámetros establecidos en esta ley y con el apoyo de las Asociaciones de Padres de Familia”</w:t>
      </w:r>
      <w:r>
        <w:rPr>
          <w:rFonts w:ascii="Times New Roman" w:eastAsia="Times New Roman" w:hAnsi="Times New Roman" w:cs="Times New Roman"/>
          <w:i/>
          <w:sz w:val="22"/>
          <w:szCs w:val="22"/>
          <w:vertAlign w:val="superscript"/>
        </w:rPr>
        <w:footnoteReference w:id="93"/>
      </w:r>
      <w:r>
        <w:rPr>
          <w:rFonts w:ascii="Times New Roman" w:eastAsia="Times New Roman" w:hAnsi="Times New Roman" w:cs="Times New Roman"/>
          <w:i/>
          <w:sz w:val="22"/>
          <w:szCs w:val="22"/>
        </w:rPr>
        <w:t xml:space="preserve">. </w:t>
      </w:r>
    </w:p>
    <w:p w14:paraId="1CE6393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tercer lugar, la Ley 2069 de 2020, conocida como la “Ley de Emprendimiento”, es una de las normas jurídicas más importantes en materia de emprendimiento en el país, estableciendo un marco de incentivos y simplificación de trámites para la creación de nuevas empresas. En su artículo 5 consagra un mecanismo exploratorio de regulación para modelos de negocio innovadores en industrias reguladas (Sandbox), el cual es sumamente importante para las startups:</w:t>
      </w:r>
    </w:p>
    <w:p w14:paraId="1CE6393D" w14:textId="77777777" w:rsidR="004D0443" w:rsidRDefault="00DA3067">
      <w:pPr>
        <w:spacing w:before="240" w:after="240"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“ARTÍCULO 5. MECANISMO EXPLORATORIO DE REGULACIÓN PARA MODELOS DE NEGOCIO INNOVADORES EN INDUSTRIAS REGULADAS (SANDBOX). El gobierno nacional, en un plazo no mayor de un (1) año posterior a la promulgación de esta ley, deberá establecer una regulación complementaria que permita, en cada uno de los Ministerios y Sectores Administrativos, crear un ambiente especial de vigilancia y control, que facilite el desarrollo de modelos de negocio que apalanquen e impulsen la economía de alto valor agregado y sostenible en distintos ámbitos, a partir de la promoción de actividades intensivas en tecnología, innovación, uso sostenible del capital natural y/o tendientes a la mitigación de la acción climática. Estos ambientes de prueba evaluarán el funcionamiento y los efectos de nuevas tecnologías o innovaciones en la regulación vigente, para determinar la viabilidad de su implementación y/o la necesidad de establecer una flexibilización del marco regulatorio existente o la simplificación de los trámites”</w:t>
      </w:r>
      <w:r>
        <w:rPr>
          <w:rFonts w:ascii="Times New Roman" w:eastAsia="Times New Roman" w:hAnsi="Times New Roman" w:cs="Times New Roman"/>
          <w:i/>
          <w:sz w:val="22"/>
          <w:szCs w:val="22"/>
          <w:vertAlign w:val="superscript"/>
        </w:rPr>
        <w:footnoteReference w:id="94"/>
      </w:r>
      <w:r>
        <w:rPr>
          <w:rFonts w:ascii="Times New Roman" w:eastAsia="Times New Roman" w:hAnsi="Times New Roman" w:cs="Times New Roman"/>
          <w:i/>
          <w:sz w:val="22"/>
          <w:szCs w:val="22"/>
        </w:rPr>
        <w:t>.</w:t>
      </w:r>
    </w:p>
    <w:p w14:paraId="1CE6393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su artículo 63 autoriza a los municipios a crear Fondos Territoriales temporales para el desarrollo integral y la reactivación económica de las empresas y emprendimientos. En su artículo 74 establece la posibilidad de que las Secretarías de Educación celebren convenios con el Servicio Nacional de Aprendizaje (SENA) para ofrecer programas de doble titulación técnico bachiller de formación para el trabajo, el emprendimiento y la innovación.</w:t>
      </w:r>
    </w:p>
    <w:p w14:paraId="1CE6393F"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12" w:name="_heading=h.mxb7c9og5mll" w:colFirst="0" w:colLast="0"/>
      <w:bookmarkEnd w:id="12"/>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.4. Normas </w:t>
      </w:r>
      <w:r>
        <w:rPr>
          <w:rFonts w:ascii="Times New Roman" w:eastAsia="Times New Roman" w:hAnsi="Times New Roman" w:cs="Times New Roman"/>
          <w:b/>
          <w:sz w:val="22"/>
          <w:szCs w:val="22"/>
        </w:rPr>
        <w:t>de rango reglamentario</w:t>
      </w:r>
    </w:p>
    <w:p w14:paraId="1CE6394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Decreto 1234 de 2020, conocido como el Sandbox Regulatorio, permite que las startups en sectores como </w:t>
      </w:r>
      <w:r>
        <w:rPr>
          <w:rFonts w:ascii="Times New Roman" w:eastAsia="Times New Roman" w:hAnsi="Times New Roman" w:cs="Times New Roman"/>
          <w:i/>
          <w:sz w:val="22"/>
          <w:szCs w:val="22"/>
        </w:rPr>
        <w:t>FinTech</w:t>
      </w:r>
      <w:r>
        <w:rPr>
          <w:rFonts w:ascii="Times New Roman" w:eastAsia="Times New Roman" w:hAnsi="Times New Roman" w:cs="Times New Roman"/>
          <w:sz w:val="22"/>
          <w:szCs w:val="22"/>
        </w:rPr>
        <w:t xml:space="preserve"> prueben productos financieros innovadores bajo la supervisión de la Superintendencia Financiera de Colombia, fomentando así la creación de soluciones tecnológicas disruptivas sin incurrir en riesgos regulatorios excesivos (Presidencia de la República, 2020)</w:t>
      </w:r>
      <w:r>
        <w:rPr>
          <w:rFonts w:ascii="Times New Roman" w:eastAsia="Times New Roman" w:hAnsi="Times New Roman" w:cs="Times New Roman"/>
          <w:sz w:val="22"/>
          <w:szCs w:val="22"/>
          <w:vertAlign w:val="superscript"/>
        </w:rPr>
        <w:footnoteReference w:id="95"/>
      </w:r>
      <w:r>
        <w:rPr>
          <w:rFonts w:ascii="Times New Roman" w:eastAsia="Times New Roman" w:hAnsi="Times New Roman" w:cs="Times New Roman"/>
          <w:sz w:val="22"/>
          <w:szCs w:val="22"/>
        </w:rPr>
        <w:t>.</w:t>
      </w:r>
    </w:p>
    <w:p w14:paraId="1CE63941"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“Artículo 2. Las entidades vigiladas por la Superintendencia Financiera podrán participar en el Sandbox regulatorio, donde podrán probar nuevos productos y servicios financieros bajo un ambiente controlado. Las pruebas estarán bajo supervisión directa para evaluar la viabilidad regulatoria de dichos productos” (Presidencia de la República, 2020)</w:t>
      </w:r>
      <w:r>
        <w:rPr>
          <w:rFonts w:ascii="Times New Roman" w:eastAsia="Times New Roman" w:hAnsi="Times New Roman" w:cs="Times New Roman"/>
          <w:sz w:val="22"/>
          <w:szCs w:val="22"/>
          <w:vertAlign w:val="superscript"/>
        </w:rPr>
        <w:footnoteReference w:id="96"/>
      </w:r>
      <w:r>
        <w:rPr>
          <w:rFonts w:ascii="Times New Roman" w:eastAsia="Times New Roman" w:hAnsi="Times New Roman" w:cs="Times New Roman"/>
          <w:sz w:val="22"/>
          <w:szCs w:val="22"/>
        </w:rPr>
        <w:t>.</w:t>
      </w:r>
    </w:p>
    <w:p w14:paraId="1CE6394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a nivel distrital el Acuerdo 819 de 2021 fomenta el emprendimiento de mujeres</w:t>
      </w:r>
      <w:r>
        <w:rPr>
          <w:rFonts w:ascii="Times New Roman" w:eastAsia="Times New Roman" w:hAnsi="Times New Roman" w:cs="Times New Roman"/>
          <w:sz w:val="22"/>
          <w:szCs w:val="22"/>
          <w:vertAlign w:val="superscript"/>
        </w:rPr>
        <w:footnoteReference w:id="97"/>
      </w:r>
      <w:r>
        <w:rPr>
          <w:rFonts w:ascii="Times New Roman" w:eastAsia="Times New Roman" w:hAnsi="Times New Roman" w:cs="Times New Roman"/>
          <w:sz w:val="22"/>
          <w:szCs w:val="22"/>
        </w:rPr>
        <w:t>. A su vez, el Acuerdo 862 de 2022 establece lineamientos para la creación de la Comisión Intersectorial de Apoyo al Emprendedor y Emprendedora Joven Rural Campesina de Bogotá D.C</w:t>
      </w:r>
      <w:r>
        <w:rPr>
          <w:rFonts w:ascii="Times New Roman" w:eastAsia="Times New Roman" w:hAnsi="Times New Roman" w:cs="Times New Roman"/>
          <w:sz w:val="22"/>
          <w:szCs w:val="22"/>
          <w:vertAlign w:val="superscript"/>
        </w:rPr>
        <w:footnoteReference w:id="98"/>
      </w:r>
      <w:r>
        <w:rPr>
          <w:rFonts w:ascii="Times New Roman" w:eastAsia="Times New Roman" w:hAnsi="Times New Roman" w:cs="Times New Roman"/>
          <w:sz w:val="22"/>
          <w:szCs w:val="22"/>
        </w:rPr>
        <w:t>. Adicionalmente, el Acuerdo 848 de 2022 incentiva el emprendimiento en la educación básica secundaria y media en las instituciones educativas públicas de la ciudad</w:t>
      </w:r>
      <w:r>
        <w:rPr>
          <w:rFonts w:ascii="Times New Roman" w:eastAsia="Times New Roman" w:hAnsi="Times New Roman" w:cs="Times New Roman"/>
          <w:sz w:val="22"/>
          <w:szCs w:val="22"/>
          <w:vertAlign w:val="superscript"/>
        </w:rPr>
        <w:footnoteReference w:id="99"/>
      </w:r>
      <w:r>
        <w:rPr>
          <w:rFonts w:ascii="Times New Roman" w:eastAsia="Times New Roman" w:hAnsi="Times New Roman" w:cs="Times New Roman"/>
          <w:sz w:val="22"/>
          <w:szCs w:val="22"/>
        </w:rPr>
        <w:t xml:space="preserve">. </w:t>
      </w:r>
    </w:p>
    <w:p w14:paraId="1CE63943" w14:textId="77777777" w:rsidR="004D0443" w:rsidRDefault="00DA3067">
      <w:pPr>
        <w:spacing w:line="276" w:lineRule="auto"/>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7. COMPETENCIA</w:t>
      </w:r>
    </w:p>
    <w:p w14:paraId="1CE63944" w14:textId="77777777" w:rsidR="004D0443" w:rsidRDefault="004D0443">
      <w:pPr>
        <w:spacing w:line="276" w:lineRule="auto"/>
        <w:jc w:val="both"/>
        <w:rPr>
          <w:rFonts w:ascii="Times New Roman" w:eastAsia="Times New Roman" w:hAnsi="Times New Roman" w:cs="Times New Roman"/>
          <w:b/>
          <w:sz w:val="22"/>
          <w:szCs w:val="22"/>
        </w:rPr>
      </w:pPr>
    </w:p>
    <w:p w14:paraId="1CE63945"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Concejo de Bogotá D.C. tiene la competencia para dictar normas relacionadas con la naturaleza y el alcance del presente Proyecto de Acuerdo, según las disposiciones constitucionales y legales vigentes. En primer lugar, el </w:t>
      </w:r>
      <w:r>
        <w:rPr>
          <w:rFonts w:ascii="Times New Roman" w:eastAsia="Times New Roman" w:hAnsi="Times New Roman" w:cs="Times New Roman"/>
          <w:i/>
          <w:sz w:val="22"/>
          <w:szCs w:val="22"/>
        </w:rPr>
        <w:t>artículo 313 de la Constitución Política de Colombia</w:t>
      </w:r>
      <w:r>
        <w:rPr>
          <w:rFonts w:ascii="Times New Roman" w:eastAsia="Times New Roman" w:hAnsi="Times New Roman" w:cs="Times New Roman"/>
          <w:sz w:val="22"/>
          <w:szCs w:val="22"/>
        </w:rPr>
        <w:t xml:space="preserve"> establece que:</w:t>
      </w:r>
    </w:p>
    <w:p w14:paraId="1CE63946" w14:textId="77777777" w:rsidR="004D0443" w:rsidRDefault="004D0443">
      <w:pPr>
        <w:jc w:val="both"/>
        <w:rPr>
          <w:rFonts w:ascii="Times New Roman" w:eastAsia="Times New Roman" w:hAnsi="Times New Roman" w:cs="Times New Roman"/>
          <w:sz w:val="22"/>
          <w:szCs w:val="22"/>
        </w:rPr>
      </w:pPr>
    </w:p>
    <w:p w14:paraId="1CE63947"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313. Corresponde a los Concejos:</w:t>
      </w:r>
    </w:p>
    <w:p w14:paraId="1CE63948" w14:textId="77777777" w:rsidR="004D0443" w:rsidRDefault="004D0443">
      <w:pPr>
        <w:ind w:left="566"/>
        <w:jc w:val="both"/>
        <w:rPr>
          <w:rFonts w:ascii="Times New Roman" w:eastAsia="Times New Roman" w:hAnsi="Times New Roman" w:cs="Times New Roman"/>
          <w:i/>
          <w:sz w:val="22"/>
          <w:szCs w:val="22"/>
        </w:rPr>
      </w:pPr>
    </w:p>
    <w:p w14:paraId="1CE63949" w14:textId="77777777" w:rsidR="004D0443" w:rsidRDefault="00DA3067">
      <w:pPr>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1. Reglamentar las funciones y la eficiente prestación de los servicios a cargo del municipio [...]”</w:t>
      </w:r>
      <w:r>
        <w:rPr>
          <w:rFonts w:ascii="Times New Roman" w:eastAsia="Times New Roman" w:hAnsi="Times New Roman" w:cs="Times New Roman"/>
          <w:sz w:val="22"/>
          <w:szCs w:val="22"/>
        </w:rPr>
        <w:t>.</w:t>
      </w:r>
    </w:p>
    <w:p w14:paraId="1CE6394A" w14:textId="77777777" w:rsidR="004D0443" w:rsidRDefault="004D0443">
      <w:pPr>
        <w:ind w:left="566"/>
        <w:jc w:val="both"/>
        <w:rPr>
          <w:rFonts w:ascii="Times New Roman" w:eastAsia="Times New Roman" w:hAnsi="Times New Roman" w:cs="Times New Roman"/>
          <w:sz w:val="22"/>
          <w:szCs w:val="22"/>
        </w:rPr>
      </w:pPr>
    </w:p>
    <w:p w14:paraId="1CE6394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segundo lugar, el </w:t>
      </w:r>
      <w:r>
        <w:rPr>
          <w:rFonts w:ascii="Times New Roman" w:eastAsia="Times New Roman" w:hAnsi="Times New Roman" w:cs="Times New Roman"/>
          <w:i/>
          <w:sz w:val="22"/>
          <w:szCs w:val="22"/>
        </w:rPr>
        <w:t>artículo 12 del Decreto Ley 1421 de 1993 - Estatuto Orgánico de Bogotá -</w:t>
      </w:r>
      <w:r>
        <w:rPr>
          <w:rFonts w:ascii="Times New Roman" w:eastAsia="Times New Roman" w:hAnsi="Times New Roman" w:cs="Times New Roman"/>
          <w:sz w:val="22"/>
          <w:szCs w:val="22"/>
        </w:rPr>
        <w:t xml:space="preserve"> estipula que:</w:t>
      </w:r>
    </w:p>
    <w:p w14:paraId="1CE6394C" w14:textId="77777777" w:rsidR="004D0443" w:rsidRDefault="004D0443">
      <w:pPr>
        <w:jc w:val="both"/>
        <w:rPr>
          <w:rFonts w:ascii="Times New Roman" w:eastAsia="Times New Roman" w:hAnsi="Times New Roman" w:cs="Times New Roman"/>
          <w:sz w:val="22"/>
          <w:szCs w:val="22"/>
        </w:rPr>
      </w:pPr>
    </w:p>
    <w:p w14:paraId="1CE6394D"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“ARTÍCULO 12. Atribuciones. Corresponde al Concejo Distrital, de conformidad con la Constitución y a la ley:</w:t>
      </w:r>
    </w:p>
    <w:p w14:paraId="1CE6394E" w14:textId="77777777" w:rsidR="004D0443" w:rsidRDefault="004D0443">
      <w:pPr>
        <w:ind w:left="566"/>
        <w:jc w:val="both"/>
        <w:rPr>
          <w:rFonts w:ascii="Times New Roman" w:eastAsia="Times New Roman" w:hAnsi="Times New Roman" w:cs="Times New Roman"/>
          <w:i/>
          <w:sz w:val="22"/>
          <w:szCs w:val="22"/>
        </w:rPr>
      </w:pPr>
    </w:p>
    <w:p w14:paraId="1CE6394F"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1. Dictar las normas necesarias para garantizar el adecuado cumplimiento de las funciones y la eficiente prestación de los servicios a cargo del Distrito [...]”.</w:t>
      </w:r>
    </w:p>
    <w:p w14:paraId="1CE63950" w14:textId="77777777" w:rsidR="004D0443" w:rsidRDefault="004D0443">
      <w:pPr>
        <w:spacing w:line="276" w:lineRule="auto"/>
        <w:jc w:val="both"/>
        <w:rPr>
          <w:rFonts w:ascii="Times New Roman" w:eastAsia="Times New Roman" w:hAnsi="Times New Roman" w:cs="Times New Roman"/>
          <w:b/>
          <w:sz w:val="22"/>
          <w:szCs w:val="22"/>
        </w:rPr>
      </w:pPr>
    </w:p>
    <w:p w14:paraId="1CE63951" w14:textId="77777777" w:rsidR="004D0443" w:rsidRDefault="00DA3067">
      <w:pPr>
        <w:spacing w:line="276" w:lineRule="auto"/>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8. IMPACTO FISCAL</w:t>
      </w:r>
    </w:p>
    <w:p w14:paraId="1CE63952" w14:textId="77777777" w:rsidR="004D0443" w:rsidRDefault="004D0443">
      <w:pPr>
        <w:spacing w:line="276" w:lineRule="auto"/>
        <w:jc w:val="both"/>
        <w:rPr>
          <w:rFonts w:ascii="Times New Roman" w:eastAsia="Times New Roman" w:hAnsi="Times New Roman" w:cs="Times New Roman"/>
          <w:b/>
          <w:sz w:val="22"/>
          <w:szCs w:val="22"/>
        </w:rPr>
      </w:pPr>
    </w:p>
    <w:p w14:paraId="1CE63953"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Ley 819 de 2003 “</w:t>
      </w:r>
      <w:r>
        <w:rPr>
          <w:rFonts w:ascii="Times New Roman" w:eastAsia="Times New Roman" w:hAnsi="Times New Roman" w:cs="Times New Roman"/>
          <w:i/>
          <w:sz w:val="22"/>
          <w:szCs w:val="22"/>
        </w:rPr>
        <w:t>Por la cual se dictan normas orgánicas en materia de presupuesto, responsabilidad y transparencia fiscal y se dictan otras disposiciones</w:t>
      </w:r>
      <w:r>
        <w:rPr>
          <w:rFonts w:ascii="Times New Roman" w:eastAsia="Times New Roman" w:hAnsi="Times New Roman" w:cs="Times New Roman"/>
          <w:sz w:val="22"/>
          <w:szCs w:val="22"/>
        </w:rPr>
        <w:t xml:space="preserve">” en su artículo 7 establece: </w:t>
      </w:r>
    </w:p>
    <w:p w14:paraId="1CE63954" w14:textId="77777777" w:rsidR="004D0443" w:rsidRDefault="004D0443">
      <w:pPr>
        <w:jc w:val="both"/>
        <w:rPr>
          <w:rFonts w:ascii="Times New Roman" w:eastAsia="Times New Roman" w:hAnsi="Times New Roman" w:cs="Times New Roman"/>
          <w:sz w:val="22"/>
          <w:szCs w:val="22"/>
        </w:rPr>
      </w:pPr>
    </w:p>
    <w:p w14:paraId="1CE63955" w14:textId="77777777" w:rsidR="004D0443" w:rsidRDefault="00DA3067">
      <w:pPr>
        <w:ind w:left="720"/>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1CE63956" w14:textId="77777777" w:rsidR="004D0443" w:rsidRDefault="004D0443">
      <w:pPr>
        <w:jc w:val="both"/>
        <w:rPr>
          <w:rFonts w:ascii="Times New Roman" w:eastAsia="Times New Roman" w:hAnsi="Times New Roman" w:cs="Times New Roman"/>
          <w:sz w:val="22"/>
          <w:szCs w:val="22"/>
        </w:rPr>
      </w:pPr>
    </w:p>
    <w:p w14:paraId="1CE63957" w14:textId="77777777" w:rsidR="004D0443" w:rsidRDefault="00DA3067">
      <w:pPr>
        <w:ind w:left="720"/>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Para estos propósitos, deberá incluirse expresamente en la exposición de motivos y en las ponencias de trámite respectivas los costos fiscales de la iniciativa y la fuente de ingreso adicional generada para el financiamiento de dicho costo”.</w:t>
      </w:r>
    </w:p>
    <w:p w14:paraId="1CE63958"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Proyecto de Acuerdo de Startups se puede vincular a la Política Pública Bogotá Territorio Inteligente (CONPES D.C. No. 29) mediante el aprovechamiento de los recursos ya dispuestos para la transformación digital de la ciudad. El proyecto puede fomentar la creación de startups tecnológicas, alineándose con los objetivos de la política pública que impulsa la innovación y la adopción de tecnologías emergentes. Al utilizar las plataformas y los recursos existentes destinados a cerrar la brecha digital y promover la digitalización del sector privado, se evitaría un impacto fiscal adicional, maximizando la eficiencia de los recursos actuales (CONPES D.C. No. 29, 2023)​</w:t>
      </w:r>
      <w:r>
        <w:rPr>
          <w:rFonts w:ascii="Times New Roman" w:eastAsia="Times New Roman" w:hAnsi="Times New Roman" w:cs="Times New Roman"/>
          <w:sz w:val="22"/>
          <w:szCs w:val="22"/>
          <w:vertAlign w:val="superscript"/>
        </w:rPr>
        <w:footnoteReference w:id="100"/>
      </w:r>
      <w:r>
        <w:rPr>
          <w:rFonts w:ascii="Times New Roman" w:eastAsia="Times New Roman" w:hAnsi="Times New Roman" w:cs="Times New Roman"/>
          <w:sz w:val="22"/>
          <w:szCs w:val="22"/>
        </w:rPr>
        <w:t>.</w:t>
      </w:r>
    </w:p>
    <w:p w14:paraId="1CE63959"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relación con la Política Pública de Trabajo Decente y Digno (CONPES D.C. No. 33), el proyecto puede fomentar la creación de empleos formales en las startups, integrándose con los programas de empleo y formación laboral que ya existen bajo esta política. De esta manera, se puede aprovechar el marco institucional y los recursos asignados para fortalecer la empleabilidad y la formación en competencias digitales, sin generar nuevas cargas presupuestales. Además, esto contribuiría a la generación de empleo formal y de calidad en el sector tecnológico, optimizando los incentivos ya asignados (CONPES D.C. No. 33, 2023)​</w:t>
      </w:r>
      <w:r>
        <w:rPr>
          <w:rFonts w:ascii="Times New Roman" w:eastAsia="Times New Roman" w:hAnsi="Times New Roman" w:cs="Times New Roman"/>
          <w:sz w:val="22"/>
          <w:szCs w:val="22"/>
          <w:vertAlign w:val="superscript"/>
        </w:rPr>
        <w:footnoteReference w:id="101"/>
      </w:r>
      <w:r>
        <w:rPr>
          <w:rFonts w:ascii="Times New Roman" w:eastAsia="Times New Roman" w:hAnsi="Times New Roman" w:cs="Times New Roman"/>
          <w:sz w:val="22"/>
          <w:szCs w:val="22"/>
        </w:rPr>
        <w:t>.</w:t>
      </w:r>
    </w:p>
    <w:p w14:paraId="1CE6395A"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último, el proyecto de startups también puede articularse con la Política Pública de Productividad, Competitividad y Desarrollo Socioeconómico (CONPES D.C. No. 25). Al impulsar el emprendimiento tecnológico, las startups pueden integrarse en los ecosistemas de innovación y desarrollo empresarial promovidos por esta política, que ya dispone de recursos para fomentar la competitividad y el crecimiento económico en el Distrito. Esto permite que las startups accedan a los programas de apoyo a la competitividad sin necesidad de nuevas inversiones fiscales, consolidando a Bogotá como un hub de innovación (CONPES D.C. No. 25, 2023)​</w:t>
      </w:r>
      <w:r>
        <w:rPr>
          <w:rFonts w:ascii="Times New Roman" w:eastAsia="Times New Roman" w:hAnsi="Times New Roman" w:cs="Times New Roman"/>
          <w:sz w:val="22"/>
          <w:szCs w:val="22"/>
          <w:vertAlign w:val="superscript"/>
        </w:rPr>
        <w:footnoteReference w:id="102"/>
      </w:r>
      <w:r>
        <w:rPr>
          <w:rFonts w:ascii="Times New Roman" w:eastAsia="Times New Roman" w:hAnsi="Times New Roman" w:cs="Times New Roman"/>
          <w:sz w:val="22"/>
          <w:szCs w:val="22"/>
        </w:rPr>
        <w:t>.</w:t>
      </w:r>
    </w:p>
    <w:p w14:paraId="1CE6395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consecuencia, esta iniciativa </w:t>
      </w:r>
      <w:r>
        <w:rPr>
          <w:rFonts w:ascii="Times New Roman" w:eastAsia="Times New Roman" w:hAnsi="Times New Roman" w:cs="Times New Roman"/>
          <w:b/>
          <w:sz w:val="22"/>
          <w:szCs w:val="22"/>
        </w:rPr>
        <w:t>no tiene un impacto fiscal</w:t>
      </w:r>
      <w:r>
        <w:rPr>
          <w:rFonts w:ascii="Times New Roman" w:eastAsia="Times New Roman" w:hAnsi="Times New Roman" w:cs="Times New Roman"/>
          <w:sz w:val="22"/>
          <w:szCs w:val="22"/>
        </w:rPr>
        <w:t xml:space="preserve"> por cuanto no implica la apropiación de recursos adicionales a los sectores y entidades responsables de su implementación. </w:t>
      </w:r>
    </w:p>
    <w:p w14:paraId="1CE6395C" w14:textId="77777777" w:rsidR="004D0443" w:rsidRDefault="004D0443">
      <w:pPr>
        <w:jc w:val="both"/>
        <w:rPr>
          <w:rFonts w:ascii="Times New Roman" w:eastAsia="Times New Roman" w:hAnsi="Times New Roman" w:cs="Times New Roman"/>
          <w:sz w:val="22"/>
          <w:szCs w:val="22"/>
        </w:rPr>
      </w:pPr>
    </w:p>
    <w:p w14:paraId="1CE6395D" w14:textId="77777777" w:rsidR="004D0443" w:rsidRDefault="00DA3067">
      <w:pPr>
        <w:rPr>
          <w:rFonts w:ascii="Times New Roman" w:eastAsia="Times New Roman" w:hAnsi="Times New Roman" w:cs="Times New Roman"/>
          <w:b/>
          <w:sz w:val="22"/>
          <w:szCs w:val="22"/>
        </w:rPr>
      </w:pPr>
      <w:r>
        <w:rPr>
          <w:rFonts w:ascii="Times New Roman" w:eastAsia="Times New Roman" w:hAnsi="Times New Roman" w:cs="Times New Roman"/>
          <w:b/>
          <w:sz w:val="22"/>
          <w:szCs w:val="22"/>
        </w:rPr>
        <w:t>9. PARTICIPACIÓN CIUDADANA</w:t>
      </w:r>
    </w:p>
    <w:p w14:paraId="1CE6395E" w14:textId="77777777" w:rsidR="004D0443" w:rsidRDefault="004D0443">
      <w:pPr>
        <w:jc w:val="center"/>
        <w:rPr>
          <w:rFonts w:ascii="Times New Roman" w:eastAsia="Times New Roman" w:hAnsi="Times New Roman" w:cs="Times New Roman"/>
          <w:b/>
          <w:sz w:val="22"/>
          <w:szCs w:val="22"/>
        </w:rPr>
      </w:pPr>
    </w:p>
    <w:p w14:paraId="1CE6395F"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día 23 de septiembre de 2024 se realizó una  mesa técnica con expertos en materia de startups en las instalaciones del Concejo de Bogotá, específicamente en el recinto de la Comisión de Hacienda y Crédito Público del edificio Maria Currea de Aya, con el propósito de co-construir con base en sus aportes la presente iniciativa normativa. A este  evento asistieron los siguientes representantes, quienes participaron activamente y, en virtud de ello, se exalta y reconoce su apoyo para la elaboración de este Proyecto de Acuerdo: </w:t>
      </w:r>
    </w:p>
    <w:p w14:paraId="1CE63960" w14:textId="77777777" w:rsidR="004D0443" w:rsidRDefault="004D0443">
      <w:pPr>
        <w:rPr>
          <w:rFonts w:ascii="Times New Roman" w:eastAsia="Times New Roman" w:hAnsi="Times New Roman" w:cs="Times New Roman"/>
          <w:sz w:val="22"/>
          <w:szCs w:val="22"/>
        </w:rPr>
      </w:pPr>
    </w:p>
    <w:tbl>
      <w:tblPr>
        <w:tblStyle w:val="aff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801"/>
        <w:gridCol w:w="4037"/>
      </w:tblGrid>
      <w:tr w:rsidR="004D0443" w14:paraId="1CE63963" w14:textId="77777777">
        <w:trPr>
          <w:trHeight w:val="300"/>
        </w:trPr>
        <w:tc>
          <w:tcPr>
            <w:tcW w:w="4801" w:type="dxa"/>
            <w:tcBorders>
              <w:top w:val="single" w:sz="5" w:space="0" w:color="000000"/>
              <w:left w:val="single" w:sz="5" w:space="0" w:color="000000"/>
              <w:bottom w:val="single" w:sz="5" w:space="0" w:color="000000"/>
              <w:right w:val="single" w:sz="5" w:space="0" w:color="000000"/>
            </w:tcBorders>
            <w:shd w:val="clear" w:color="auto" w:fill="D9EAD3"/>
            <w:tcMar>
              <w:top w:w="0" w:type="dxa"/>
              <w:left w:w="40" w:type="dxa"/>
              <w:bottom w:w="0" w:type="dxa"/>
              <w:right w:w="40" w:type="dxa"/>
            </w:tcMar>
            <w:vAlign w:val="center"/>
          </w:tcPr>
          <w:p w14:paraId="1CE6396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Institución</w:t>
            </w:r>
          </w:p>
        </w:tc>
        <w:tc>
          <w:tcPr>
            <w:tcW w:w="4037" w:type="dxa"/>
            <w:tcBorders>
              <w:top w:val="single" w:sz="5" w:space="0" w:color="000000"/>
              <w:left w:val="single" w:sz="5" w:space="0" w:color="CCCCCC"/>
              <w:bottom w:val="single" w:sz="5" w:space="0" w:color="000000"/>
              <w:right w:val="single" w:sz="5" w:space="0" w:color="000000"/>
            </w:tcBorders>
            <w:shd w:val="clear" w:color="auto" w:fill="D9EAD3"/>
            <w:tcMar>
              <w:top w:w="0" w:type="dxa"/>
              <w:left w:w="40" w:type="dxa"/>
              <w:bottom w:w="0" w:type="dxa"/>
              <w:right w:w="40" w:type="dxa"/>
            </w:tcMar>
            <w:vAlign w:val="center"/>
          </w:tcPr>
          <w:p w14:paraId="1CE6396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Nombre</w:t>
            </w:r>
          </w:p>
        </w:tc>
      </w:tr>
      <w:tr w:rsidR="004D0443" w14:paraId="1CE63966"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Centro de Emprendimiento Universidad del Rosario</w:t>
            </w:r>
          </w:p>
        </w:tc>
        <w:tc>
          <w:tcPr>
            <w:tcW w:w="4037"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vAlign w:val="center"/>
          </w:tcPr>
          <w:p w14:paraId="1CE6396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Adriana Diago</w:t>
            </w:r>
          </w:p>
        </w:tc>
      </w:tr>
      <w:tr w:rsidR="004D0443" w14:paraId="1CE63969"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7"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Juan Sebastián Chávez</w:t>
            </w:r>
          </w:p>
        </w:tc>
      </w:tr>
      <w:tr w:rsidR="004D0443" w14:paraId="1CE6396C"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A"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B"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Carlos Guayara</w:t>
            </w:r>
          </w:p>
        </w:tc>
      </w:tr>
      <w:tr w:rsidR="004D0443" w14:paraId="1CE6396F"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6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Facultad de Administración de Empresas de la Universidad Central</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Julio Andrés Palacios Valero</w:t>
            </w:r>
          </w:p>
        </w:tc>
      </w:tr>
      <w:tr w:rsidR="004D0443" w14:paraId="1CE63972"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Administración de Empresas de la Universidad Piloto</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Julián Esteban Gutiérrez Rodríguez</w:t>
            </w:r>
          </w:p>
        </w:tc>
      </w:tr>
      <w:tr w:rsidR="004D0443" w14:paraId="1CE63975"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Finanzas y Negocios Internacionales de la Fundación Universitaria del Área Andina</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July Alexandra Villalba Rodriguez</w:t>
            </w:r>
          </w:p>
        </w:tc>
      </w:tr>
      <w:tr w:rsidR="004D0443" w14:paraId="1CE63978"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6"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Eliana Lisbeth Florez Duque</w:t>
            </w:r>
          </w:p>
        </w:tc>
      </w:tr>
      <w:tr w:rsidR="004D0443" w14:paraId="1CE6397B"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9"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Mario Alejandro Garcerá Murillo</w:t>
            </w:r>
          </w:p>
        </w:tc>
      </w:tr>
      <w:tr w:rsidR="004D0443" w14:paraId="1CE6397E"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Facultad de Ciencias Económicas y Administrativas de la Universidad El Bosque</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Oscar Mauricio Ávila Bustos</w:t>
            </w:r>
          </w:p>
        </w:tc>
      </w:tr>
      <w:tr w:rsidR="004D0443" w14:paraId="1CE63982"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F"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Cristian Camilo Correa Barrera</w:t>
            </w:r>
          </w:p>
          <w:p w14:paraId="1CE6398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Emprendedor Fintech</w:t>
            </w:r>
          </w:p>
        </w:tc>
      </w:tr>
      <w:tr w:rsidR="004D0443" w14:paraId="1CE63985"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Administración de Empresas de la Universidad Militar</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Enit Godoy Estrella</w:t>
            </w:r>
          </w:p>
        </w:tc>
      </w:tr>
      <w:tr w:rsidR="004D0443" w14:paraId="1CE63988"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6"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Pedro José Sánchez Caimán </w:t>
            </w:r>
          </w:p>
        </w:tc>
      </w:tr>
      <w:tr w:rsidR="004D0443" w14:paraId="1CE6398B"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Facultad de Ciencias Económica de la Universidad EAN</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Jose Enrique Alba</w:t>
            </w:r>
          </w:p>
        </w:tc>
      </w:tr>
      <w:tr w:rsidR="004D0443" w14:paraId="1CE6398F" w14:textId="77777777">
        <w:trPr>
          <w:trHeight w:val="121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Escuela de Negocios  y  Hub de Emprendimiento</w:t>
            </w:r>
          </w:p>
          <w:p w14:paraId="1CE6398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 la 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Andrés Felipe Ortiz Zamora</w:t>
            </w:r>
          </w:p>
        </w:tc>
      </w:tr>
      <w:tr w:rsidR="004D0443" w14:paraId="1CE63992"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Especialización en Emprendimiento de la Universidad de  La Salle</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Zuly Lorena Rojas Romero</w:t>
            </w:r>
          </w:p>
        </w:tc>
      </w:tr>
      <w:tr w:rsidR="004D0443" w14:paraId="1CE63995"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Área de Emprendimiento de la 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Jackson Paul Pereira Silva</w:t>
            </w:r>
          </w:p>
        </w:tc>
      </w:tr>
      <w:tr w:rsidR="004D0443" w14:paraId="1CE63998"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Jose Armando Hernández Bernal</w:t>
            </w:r>
          </w:p>
        </w:tc>
      </w:tr>
      <w:tr w:rsidR="004D0443" w14:paraId="1CE6399B"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9"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Ruth Rodriguez Andrade</w:t>
            </w:r>
          </w:p>
        </w:tc>
      </w:tr>
      <w:tr w:rsidR="004D0443" w14:paraId="1CE6399E"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C"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Martha Cecilia López </w:t>
            </w:r>
          </w:p>
        </w:tc>
      </w:tr>
      <w:tr w:rsidR="004D0443" w14:paraId="1CE639A1" w14:textId="77777777">
        <w:trPr>
          <w:trHeight w:val="300"/>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9F"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 Cooperativa de Colombia</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Adriana Rojas Martinez</w:t>
            </w:r>
          </w:p>
        </w:tc>
      </w:tr>
      <w:tr w:rsidR="004D0443" w14:paraId="1CE639A4"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A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Katalab</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Luis David Garnica</w:t>
            </w:r>
          </w:p>
        </w:tc>
      </w:tr>
      <w:tr w:rsidR="004D0443" w14:paraId="1CE639A7"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A5"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Augusto Moreno</w:t>
            </w:r>
          </w:p>
        </w:tc>
      </w:tr>
    </w:tbl>
    <w:p w14:paraId="1CE639A8" w14:textId="77777777" w:rsidR="004D0443" w:rsidRDefault="00DA3067">
      <w:pP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CE63A15" wp14:editId="1CE63A16">
            <wp:extent cx="2589713" cy="1938987"/>
            <wp:effectExtent l="0" t="0" r="0" b="0"/>
            <wp:docPr id="148"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22"/>
                    <a:srcRect/>
                    <a:stretch>
                      <a:fillRect/>
                    </a:stretch>
                  </pic:blipFill>
                  <pic:spPr>
                    <a:xfrm>
                      <a:off x="0" y="0"/>
                      <a:ext cx="2589713" cy="1938987"/>
                    </a:xfrm>
                    <a:prstGeom prst="rect">
                      <a:avLst/>
                    </a:prstGeom>
                    <a:ln/>
                  </pic:spPr>
                </pic:pic>
              </a:graphicData>
            </a:graphic>
          </wp:inline>
        </w:drawing>
      </w:r>
      <w:r>
        <w:rPr>
          <w:rFonts w:ascii="Times New Roman" w:eastAsia="Times New Roman" w:hAnsi="Times New Roman" w:cs="Times New Roman"/>
          <w:noProof/>
          <w:sz w:val="22"/>
          <w:szCs w:val="22"/>
          <w:lang w:val="es-CO"/>
        </w:rPr>
        <w:drawing>
          <wp:inline distT="114300" distB="114300" distL="114300" distR="114300" wp14:anchorId="1CE63A17" wp14:editId="1CE63A18">
            <wp:extent cx="2599385" cy="1947141"/>
            <wp:effectExtent l="0" t="0" r="0" b="0"/>
            <wp:docPr id="149"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3"/>
                    <a:srcRect/>
                    <a:stretch>
                      <a:fillRect/>
                    </a:stretch>
                  </pic:blipFill>
                  <pic:spPr>
                    <a:xfrm>
                      <a:off x="0" y="0"/>
                      <a:ext cx="2599385" cy="1947141"/>
                    </a:xfrm>
                    <a:prstGeom prst="rect">
                      <a:avLst/>
                    </a:prstGeom>
                    <a:ln/>
                  </pic:spPr>
                </pic:pic>
              </a:graphicData>
            </a:graphic>
          </wp:inline>
        </w:drawing>
      </w:r>
    </w:p>
    <w:p w14:paraId="1CE639A9" w14:textId="64201C57" w:rsidR="004D0443" w:rsidRDefault="00DA3067">
      <w:pP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CE63A19" wp14:editId="1CE63A1A">
            <wp:extent cx="2605608" cy="1946941"/>
            <wp:effectExtent l="0" t="0" r="0" b="0"/>
            <wp:docPr id="150"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4"/>
                    <a:srcRect/>
                    <a:stretch>
                      <a:fillRect/>
                    </a:stretch>
                  </pic:blipFill>
                  <pic:spPr>
                    <a:xfrm>
                      <a:off x="0" y="0"/>
                      <a:ext cx="2605608" cy="1946941"/>
                    </a:xfrm>
                    <a:prstGeom prst="rect">
                      <a:avLst/>
                    </a:prstGeom>
                    <a:ln/>
                  </pic:spPr>
                </pic:pic>
              </a:graphicData>
            </a:graphic>
          </wp:inline>
        </w:drawing>
      </w:r>
      <w:r>
        <w:rPr>
          <w:rFonts w:ascii="Times New Roman" w:eastAsia="Times New Roman" w:hAnsi="Times New Roman" w:cs="Times New Roman"/>
          <w:noProof/>
          <w:sz w:val="22"/>
          <w:szCs w:val="22"/>
          <w:lang w:val="es-CO"/>
        </w:rPr>
        <w:drawing>
          <wp:inline distT="114300" distB="114300" distL="114300" distR="114300" wp14:anchorId="1CE63A1B" wp14:editId="1CE63A1C">
            <wp:extent cx="2662897" cy="1988527"/>
            <wp:effectExtent l="0" t="0" r="0" b="0"/>
            <wp:docPr id="151"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5"/>
                    <a:srcRect/>
                    <a:stretch>
                      <a:fillRect/>
                    </a:stretch>
                  </pic:blipFill>
                  <pic:spPr>
                    <a:xfrm>
                      <a:off x="0" y="0"/>
                      <a:ext cx="2662897" cy="1988527"/>
                    </a:xfrm>
                    <a:prstGeom prst="rect">
                      <a:avLst/>
                    </a:prstGeom>
                    <a:ln/>
                  </pic:spPr>
                </pic:pic>
              </a:graphicData>
            </a:graphic>
          </wp:inline>
        </w:drawing>
      </w:r>
    </w:p>
    <w:p w14:paraId="1CE639AA" w14:textId="77777777" w:rsidR="004D0443" w:rsidRDefault="004D0443">
      <w:pPr>
        <w:rPr>
          <w:rFonts w:ascii="Times New Roman" w:eastAsia="Times New Roman" w:hAnsi="Times New Roman" w:cs="Times New Roman"/>
          <w:sz w:val="22"/>
          <w:szCs w:val="22"/>
        </w:rPr>
      </w:pPr>
    </w:p>
    <w:p w14:paraId="1CE639A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p>
    <w:p w14:paraId="1CE639AC" w14:textId="77777777" w:rsidR="004D0443" w:rsidRDefault="004D0443">
      <w:pPr>
        <w:jc w:val="both"/>
        <w:rPr>
          <w:rFonts w:ascii="Times New Roman" w:eastAsia="Times New Roman" w:hAnsi="Times New Roman" w:cs="Times New Roman"/>
          <w:sz w:val="22"/>
          <w:szCs w:val="22"/>
        </w:rPr>
      </w:pPr>
    </w:p>
    <w:p w14:paraId="1CE639AD" w14:textId="77777777" w:rsidR="004D0443" w:rsidRDefault="004D0443">
      <w:pPr>
        <w:jc w:val="both"/>
        <w:rPr>
          <w:rFonts w:ascii="Times New Roman" w:eastAsia="Times New Roman" w:hAnsi="Times New Roman" w:cs="Times New Roman"/>
          <w:sz w:val="22"/>
          <w:szCs w:val="22"/>
        </w:rPr>
      </w:pPr>
    </w:p>
    <w:p w14:paraId="1CE639AE" w14:textId="77777777" w:rsidR="004D0443" w:rsidRDefault="004D0443">
      <w:pPr>
        <w:jc w:val="both"/>
        <w:rPr>
          <w:rFonts w:ascii="Times New Roman" w:eastAsia="Times New Roman" w:hAnsi="Times New Roman" w:cs="Times New Roman"/>
          <w:sz w:val="22"/>
          <w:szCs w:val="22"/>
        </w:rPr>
      </w:pPr>
    </w:p>
    <w:p w14:paraId="1CE639AF" w14:textId="77777777" w:rsidR="004D0443" w:rsidRDefault="004D0443">
      <w:pPr>
        <w:jc w:val="both"/>
        <w:rPr>
          <w:rFonts w:ascii="Times New Roman" w:eastAsia="Times New Roman" w:hAnsi="Times New Roman" w:cs="Times New Roman"/>
          <w:sz w:val="22"/>
          <w:szCs w:val="22"/>
        </w:rPr>
      </w:pPr>
    </w:p>
    <w:p w14:paraId="1CE639B0" w14:textId="77777777" w:rsidR="004D0443" w:rsidRDefault="00DA3067">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JULIÁN RODRÍGUEZ SASTOQUE</w:t>
      </w:r>
    </w:p>
    <w:p w14:paraId="1CE639B1"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CE639B2"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Partido Alianza Verde.</w:t>
      </w:r>
    </w:p>
    <w:p w14:paraId="1CE639B3" w14:textId="77777777" w:rsidR="004D0443" w:rsidRDefault="004D0443">
      <w:pPr>
        <w:jc w:val="both"/>
        <w:rPr>
          <w:rFonts w:ascii="Times New Roman" w:eastAsia="Times New Roman" w:hAnsi="Times New Roman" w:cs="Times New Roman"/>
          <w:sz w:val="22"/>
          <w:szCs w:val="22"/>
        </w:rPr>
      </w:pPr>
    </w:p>
    <w:p w14:paraId="1CE639B4" w14:textId="77777777" w:rsidR="004D0443" w:rsidRDefault="004D0443">
      <w:pPr>
        <w:jc w:val="both"/>
        <w:rPr>
          <w:rFonts w:ascii="Times New Roman" w:eastAsia="Times New Roman" w:hAnsi="Times New Roman" w:cs="Times New Roman"/>
          <w:sz w:val="22"/>
          <w:szCs w:val="22"/>
        </w:rPr>
      </w:pPr>
    </w:p>
    <w:p w14:paraId="1CE639B5" w14:textId="77777777" w:rsidR="004D0443" w:rsidRDefault="00DA3067">
      <w:pPr>
        <w:spacing w:before="240" w:after="240"/>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9. ARTICULADO</w:t>
      </w:r>
    </w:p>
    <w:p w14:paraId="1CE639B6"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PROYECTO DE ACUERDO No. _______ DE 2025</w:t>
      </w:r>
    </w:p>
    <w:p w14:paraId="1CE639B7" w14:textId="77777777" w:rsidR="004D0443" w:rsidRDefault="004D0443">
      <w:pPr>
        <w:spacing w:line="276" w:lineRule="auto"/>
        <w:jc w:val="center"/>
        <w:rPr>
          <w:rFonts w:ascii="Times New Roman" w:eastAsia="Times New Roman" w:hAnsi="Times New Roman" w:cs="Times New Roman"/>
          <w:b/>
          <w:sz w:val="22"/>
          <w:szCs w:val="22"/>
        </w:rPr>
      </w:pPr>
    </w:p>
    <w:p w14:paraId="1CE639B8" w14:textId="77777777" w:rsidR="004D0443" w:rsidRDefault="00DA3067">
      <w:pPr>
        <w:spacing w:line="276" w:lineRule="auto"/>
        <w:jc w:val="center"/>
        <w:rPr>
          <w:rFonts w:ascii="Times New Roman" w:eastAsia="Times New Roman" w:hAnsi="Times New Roman" w:cs="Times New Roman"/>
          <w:b/>
          <w:sz w:val="22"/>
          <w:szCs w:val="22"/>
          <w:highlight w:val="cyan"/>
        </w:rPr>
      </w:pPr>
      <w:r>
        <w:rPr>
          <w:rFonts w:ascii="Times New Roman" w:eastAsia="Times New Roman" w:hAnsi="Times New Roman" w:cs="Times New Roman"/>
          <w:b/>
          <w:i/>
          <w:sz w:val="22"/>
          <w:szCs w:val="22"/>
        </w:rPr>
        <w:t>"POR MEDIO DEL CUAL SE FOMENTAN LAS STARTUPS EN EL DISTRITO CAPITAL Y SE DICTAN OTRAS DISPOSICIONES”</w:t>
      </w:r>
    </w:p>
    <w:p w14:paraId="1CE639B9" w14:textId="77777777" w:rsidR="004D0443" w:rsidRDefault="00DA3067">
      <w:pPr>
        <w:spacing w:before="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EL CONCEJO DE BOGOTÁ D.C.</w:t>
      </w:r>
    </w:p>
    <w:p w14:paraId="1CE639BA" w14:textId="77777777" w:rsidR="004D0443" w:rsidRDefault="00DA3067">
      <w:pPr>
        <w:spacing w:before="240" w:line="276" w:lineRule="auto"/>
        <w:jc w:val="center"/>
        <w:rPr>
          <w:rFonts w:ascii="Times New Roman" w:eastAsia="Times New Roman" w:hAnsi="Times New Roman" w:cs="Times New Roman"/>
          <w:b/>
          <w:color w:val="FF0000"/>
          <w:sz w:val="22"/>
          <w:szCs w:val="22"/>
        </w:rPr>
      </w:pPr>
      <w:r>
        <w:rPr>
          <w:rFonts w:ascii="Times New Roman" w:eastAsia="Times New Roman" w:hAnsi="Times New Roman" w:cs="Times New Roman"/>
          <w:b/>
          <w:sz w:val="22"/>
          <w:szCs w:val="22"/>
        </w:rPr>
        <w:t>En ejercicio de las facultades que le confiere el numeral 1 del artículo 313 de la Constitución Política de Colombia y el numeral 1 del artículo 12 del Decreto Ley 1421 de 1993</w:t>
      </w:r>
    </w:p>
    <w:p w14:paraId="1CE639BB" w14:textId="77777777" w:rsidR="004D0443" w:rsidRDefault="00DA3067">
      <w:pPr>
        <w:spacing w:before="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ACUERDA:</w:t>
      </w:r>
    </w:p>
    <w:p w14:paraId="1CE639BC"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1º. Objeto. </w:t>
      </w:r>
      <w:r>
        <w:rPr>
          <w:rFonts w:ascii="Times New Roman" w:eastAsia="Times New Roman" w:hAnsi="Times New Roman" w:cs="Times New Roman"/>
          <w:sz w:val="22"/>
          <w:szCs w:val="22"/>
        </w:rPr>
        <w:t>El presente Acuerdo tiene por objeto establecer medidas que fomenten, apoyen y fortalezcan la incubación, crecimiento, impulso y consolidación de startups en el Distrito Capital, con el fin de impulsar la innovación, el crecimiento económico, la transformación digital, la competitividad, la productividad, la generación de empleo formal, la sostenibilidad y la internacionalización de la ciudad fomentando la articulación entre la sociedad civil, academia, el sector privado y el sector público, así mismo, para seguir consolidando a Bogotá como el epicentro de los emprendimientos emergentes en el país y la región.</w:t>
      </w:r>
    </w:p>
    <w:p w14:paraId="1CE639BD" w14:textId="77777777" w:rsidR="004D0443" w:rsidRDefault="00DA3067">
      <w:pPr>
        <w:spacing w:before="240" w:after="240" w:line="256" w:lineRule="auto"/>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2º. Definiciones. </w:t>
      </w:r>
      <w:r>
        <w:rPr>
          <w:rFonts w:ascii="Times New Roman" w:eastAsia="Times New Roman" w:hAnsi="Times New Roman" w:cs="Times New Roman"/>
          <w:sz w:val="22"/>
          <w:szCs w:val="22"/>
        </w:rPr>
        <w:t xml:space="preserve">Para los efectos del presente Acuerdo se tendrán en cuenta las siguientes definiciones: </w:t>
      </w:r>
    </w:p>
    <w:p w14:paraId="1CE639BE" w14:textId="77777777" w:rsidR="004D0443" w:rsidRDefault="00DA3067">
      <w:pPr>
        <w:numPr>
          <w:ilvl w:val="0"/>
          <w:numId w:val="1"/>
        </w:numPr>
        <w:spacing w:before="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Startup: </w:t>
      </w:r>
      <w:r>
        <w:rPr>
          <w:rFonts w:ascii="Times New Roman" w:eastAsia="Times New Roman" w:hAnsi="Times New Roman" w:cs="Times New Roman"/>
          <w:sz w:val="22"/>
          <w:szCs w:val="22"/>
        </w:rPr>
        <w:t>Empresa emergente caracterizada por su alto potencial de crecimiento, capacidad de innovación y el acceso a nuevos mercados para ofrecer productos o servicios en los siguientes sectores.</w:t>
      </w:r>
    </w:p>
    <w:p w14:paraId="1CE639BF"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FinTech (Financial Technology):</w:t>
      </w:r>
      <w:r>
        <w:rPr>
          <w:rFonts w:ascii="Times New Roman" w:eastAsia="Times New Roman" w:hAnsi="Times New Roman" w:cs="Times New Roman"/>
          <w:sz w:val="22"/>
          <w:szCs w:val="22"/>
        </w:rPr>
        <w:t xml:space="preserve"> Sector de las startups que integra tecnología y finanzas para ofrecer productos y servicios financieros de manera más eficiente y accesible. Incluye plataformas de pago digital, banca en línea, criptomonedas, gestión financiera automatizada, préstamos peer-to-peer, crowdfunding, entre otros. Democratizan el acceso a servicios financieros, permitiendo a personas y empresas acceder a crédito y otros servicios sin necesidad de intermediarios tradicionales.</w:t>
      </w:r>
    </w:p>
    <w:p w14:paraId="1CE639C0"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PropTech (Property Technology): </w:t>
      </w:r>
      <w:r>
        <w:rPr>
          <w:rFonts w:ascii="Times New Roman" w:eastAsia="Times New Roman" w:hAnsi="Times New Roman" w:cs="Times New Roman"/>
          <w:sz w:val="22"/>
          <w:szCs w:val="22"/>
        </w:rPr>
        <w:t>Sector de las startups que usa la tecnología para innovar y mejorar el sector inmobiliario. Incluye herramientas para la compra, venta, alquiler y gestión de propiedades, así como plataformas que permiten a los usuarios acceder a información en tiempo real sobre inmuebles.</w:t>
      </w:r>
    </w:p>
    <w:p w14:paraId="1CE639C1"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EnergyTech (Energy Technology): </w:t>
      </w:r>
      <w:r>
        <w:rPr>
          <w:rFonts w:ascii="Times New Roman" w:eastAsia="Times New Roman" w:hAnsi="Times New Roman" w:cs="Times New Roman"/>
          <w:sz w:val="22"/>
          <w:szCs w:val="22"/>
        </w:rPr>
        <w:t>Sector de las startups que se enfoca en desarrollar soluciones tecnológicas que optimicen la producción, distribución y consumo de energía. Incluye energías renovables, redes inteligentes, almacenamiento de energía y eficiencia energética. También abarca la reducción del uso de combustibles fósiles y la implementación de tecnologías limpias para la sostenibilidad energética.</w:t>
      </w:r>
    </w:p>
    <w:p w14:paraId="1CE639C2"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RetailTech (Retail Technology):</w:t>
      </w:r>
      <w:r>
        <w:rPr>
          <w:rFonts w:ascii="Times New Roman" w:eastAsia="Times New Roman" w:hAnsi="Times New Roman" w:cs="Times New Roman"/>
          <w:sz w:val="22"/>
          <w:szCs w:val="22"/>
        </w:rPr>
        <w:t xml:space="preserve"> Sector de las startups que involucra la aplicación de tecnología para transformar el sector minorista. Abarca el comercio electrónico, sistemas de punto de venta avanzados, inteligencia artificial para recomendaciones de compra y gestión automatizada del inventario.</w:t>
      </w:r>
    </w:p>
    <w:p w14:paraId="1CE639C3"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AgTech (Agricultural Technology): </w:t>
      </w:r>
      <w:r>
        <w:rPr>
          <w:rFonts w:ascii="Times New Roman" w:eastAsia="Times New Roman" w:hAnsi="Times New Roman" w:cs="Times New Roman"/>
          <w:sz w:val="22"/>
          <w:szCs w:val="22"/>
        </w:rPr>
        <w:t>Sector de las startups que involucra tecnologías aplicadas a la agricultura con el objetivo de aumentar la eficiencia, la sostenibilidad y la producción. Incluye agricultura de precisión, automatización de cultivos, uso de drones y sensores para el monitoreo de campos, y software de gestión agrícola.</w:t>
      </w:r>
    </w:p>
    <w:p w14:paraId="1CE639C4"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FoodTech (Food Technology):</w:t>
      </w:r>
      <w:r>
        <w:rPr>
          <w:rFonts w:ascii="Times New Roman" w:eastAsia="Times New Roman" w:hAnsi="Times New Roman" w:cs="Times New Roman"/>
          <w:sz w:val="22"/>
          <w:szCs w:val="22"/>
        </w:rPr>
        <w:t xml:space="preserve"> Sector de las startups que integra la tecnología en la cadena de producción y distribución de alimentos desde el procesamiento hasta la entrega. Abarca innovaciones en la producción de alimentos alternativos hasta la creación de plataformas de distribución y entrega como delivery de alimentos.</w:t>
      </w:r>
    </w:p>
    <w:p w14:paraId="1CE639C5"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Mobility Tech (Mobility Technology): </w:t>
      </w:r>
      <w:r>
        <w:rPr>
          <w:rFonts w:ascii="Times New Roman" w:eastAsia="Times New Roman" w:hAnsi="Times New Roman" w:cs="Times New Roman"/>
          <w:sz w:val="22"/>
          <w:szCs w:val="22"/>
        </w:rPr>
        <w:t>Sector de las startups que aplica la tecnología a la movilidad de personas y mercancías, incluyendo vehículos eléctricos, transporte compartido, soluciones de micromovilidad (bicicletas y scooters), y software de gestión del tráfico, con el fin de hacer el transporte más eficiente, ecológico y accesible para las ciudades y los ciudadanos.</w:t>
      </w:r>
    </w:p>
    <w:p w14:paraId="1CE639C6"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Telecom (Telecommunications Technology): </w:t>
      </w:r>
      <w:r>
        <w:rPr>
          <w:rFonts w:ascii="Times New Roman" w:eastAsia="Times New Roman" w:hAnsi="Times New Roman" w:cs="Times New Roman"/>
          <w:sz w:val="22"/>
          <w:szCs w:val="22"/>
        </w:rPr>
        <w:t>Sector de las startups que involucra el uso de tecnologías avanzadas para mejorar las comunicaciones a nivel global. Incluye redes de telefonía móvil (como 5G), servicios de internet de alta velocidad, transmisión de datos, y tecnologías relacionadas con la ciberseguridad y la infraestructura digital.</w:t>
      </w:r>
    </w:p>
    <w:p w14:paraId="1CE639C7"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LogTech (Logistics Technology):</w:t>
      </w:r>
      <w:r>
        <w:rPr>
          <w:rFonts w:ascii="Times New Roman" w:eastAsia="Times New Roman" w:hAnsi="Times New Roman" w:cs="Times New Roman"/>
          <w:sz w:val="22"/>
          <w:szCs w:val="22"/>
        </w:rPr>
        <w:t xml:space="preserve"> Sector de las startups que optimiza la logística y la cadena de suministro mediante el uso de tecnologías como el blockchain, la inteligencia artificial y el internet de las cosas (IoT). Las innovaciones en este sector incluyen el rastreo en tiempo real de mercancías, la optimización de rutas de transporte y la automatización de almacenes, con el propósito de mejorar la eficiencia, reducir costos y garantizar una distribución más rápida y segura de bienes.</w:t>
      </w:r>
    </w:p>
    <w:p w14:paraId="1CE639C8"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HealthTech (Health Technology):</w:t>
      </w:r>
      <w:r>
        <w:rPr>
          <w:rFonts w:ascii="Times New Roman" w:eastAsia="Times New Roman" w:hAnsi="Times New Roman" w:cs="Times New Roman"/>
          <w:sz w:val="22"/>
          <w:szCs w:val="22"/>
        </w:rPr>
        <w:t xml:space="preserve"> Sector de las startups que usa la tecnología para mejorar los servicios de salud. Incluye desde dispositivos médicos portátiles hasta plataformas de telemedicina, aplicaciones móviles de salud y gestión de datos médicos mediante inteligencia artificial, con el fin de mejorar la calidad de la atención médica, reducir costos y personalizar los tratamientos basados en datos.</w:t>
      </w:r>
    </w:p>
    <w:p w14:paraId="1CE639C9"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CleanTech: </w:t>
      </w:r>
      <w:r>
        <w:rPr>
          <w:rFonts w:ascii="Times New Roman" w:eastAsia="Times New Roman" w:hAnsi="Times New Roman" w:cs="Times New Roman"/>
          <w:sz w:val="22"/>
          <w:szCs w:val="22"/>
        </w:rPr>
        <w:t>Sector de las startups que se enfoca en desarrollar tecnologías limpias para minimizar el impacto ambiental y promover la sostenibilidad. Este sector abarca la producción de energía renovable (solar, eólica, geotérmica), el tratamiento de residuos, la gestión del agua, tecnologías de reducción de emisiones de carbono, y el desarrollo de procesos industriales más sostenibles. El objetivo principal es la mitigación del cambio climático y la conservación de recursos naturales mediante la innovación tecnológica.</w:t>
      </w:r>
    </w:p>
    <w:p w14:paraId="1CE639CA"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SaaS: </w:t>
      </w:r>
      <w:r>
        <w:rPr>
          <w:rFonts w:ascii="Times New Roman" w:eastAsia="Times New Roman" w:hAnsi="Times New Roman" w:cs="Times New Roman"/>
          <w:sz w:val="22"/>
          <w:szCs w:val="22"/>
        </w:rPr>
        <w:t>Sector tecnológico en el que las startups ofrecen software como un servicio, alojado en la nube y accesible a través de internet. En lugar de comprar e instalar software en servidores o dispositivos locales, los usuarios acceden a aplicaciones en línea mediante suscripciones.</w:t>
      </w:r>
    </w:p>
    <w:p w14:paraId="1CE639CB"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AgTech:</w:t>
      </w:r>
      <w:r>
        <w:rPr>
          <w:rFonts w:ascii="Times New Roman" w:eastAsia="Times New Roman" w:hAnsi="Times New Roman" w:cs="Times New Roman"/>
          <w:sz w:val="22"/>
          <w:szCs w:val="22"/>
        </w:rPr>
        <w:t xml:space="preserve"> Sector de las startups que aplica tecnologías avanzadas a la agricultura para mejorar la eficiencia, la sostenibilidad y la producción. AgTech incluye la agricultura de precisión (uso de drones, sensores y datos satelitales), automatización de procesos agrícolas, biotecnología aplicada a cultivos, y soluciones de gestión de recursos hídricos y nutrientes.</w:t>
      </w:r>
    </w:p>
    <w:p w14:paraId="1CE639CC"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Edtech: </w:t>
      </w:r>
      <w:r>
        <w:rPr>
          <w:rFonts w:ascii="Times New Roman" w:eastAsia="Times New Roman" w:hAnsi="Times New Roman" w:cs="Times New Roman"/>
          <w:sz w:val="22"/>
          <w:szCs w:val="22"/>
        </w:rPr>
        <w:t>Sector de las startups que integra la tecnología en la educación para mejorar el aprendizaje y la enseñanza. EdTech abarca plataformas de aprendizaje en línea, herramientas de enseñanza adaptativa basadas en inteligencia artificial, aplicaciones.</w:t>
      </w:r>
    </w:p>
    <w:p w14:paraId="1CE639CD"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E-Commerce: </w:t>
      </w:r>
      <w:r>
        <w:rPr>
          <w:rFonts w:ascii="Times New Roman" w:eastAsia="Times New Roman" w:hAnsi="Times New Roman" w:cs="Times New Roman"/>
          <w:sz w:val="22"/>
          <w:szCs w:val="22"/>
        </w:rPr>
        <w:t>El sector del comercio electrónico incluye startups que utilizan plataformas digitales para facilitar la compra y venta de bienes y servicios en línea. Estas empresas crean soluciones para tiendas virtuales, pagos electrónicos, marketing digital, gestión de inventarios y logística de entrega. Abarca desde el comercio entre empresas y consumidores (B2C) hasta el comercio entre empresas (B2B), brindando acceso a mercados globales. Tecnologías clave incluyen inteligencia artificial para personalización de la experiencia de compra, realidad aumentada para mejorar la visualización de productos, y plataformas de pago seguro.</w:t>
      </w:r>
    </w:p>
    <w:p w14:paraId="1CE639CE"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GovTech (Government Technology): </w:t>
      </w:r>
      <w:r>
        <w:rPr>
          <w:rFonts w:ascii="Times New Roman" w:eastAsia="Times New Roman" w:hAnsi="Times New Roman" w:cs="Times New Roman"/>
          <w:sz w:val="22"/>
          <w:szCs w:val="22"/>
        </w:rPr>
        <w:t>Sector que abarca las startups que desarrollan tecnologías destinadas a mejorar la eficiencia, transparencia y accesibilidad de los servicios gubernamentales. GovTech incluye soluciones para la digitalización de procesos públicos, plataformas de participación ciudadana, gestión de datos gubernamentales, automatización de trámites, ciberseguridad en la administración pública y sistemas de votación electrónica. Estas tecnologías buscan modernizar la administración pública, optimizar la toma de decisiones y mejorar la interacción entre los ciudadanos y el Estado.</w:t>
      </w:r>
    </w:p>
    <w:p w14:paraId="1CE639CF"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DeepTech (Tecnología Profunda): </w:t>
      </w:r>
      <w:r>
        <w:rPr>
          <w:rFonts w:ascii="Times New Roman" w:eastAsia="Times New Roman" w:hAnsi="Times New Roman" w:cs="Times New Roman"/>
          <w:sz w:val="22"/>
          <w:szCs w:val="22"/>
        </w:rPr>
        <w:t>El sector de la DeepTech incluye startups que desarrollan tecnologías avanzadas y disruptivas basadas en descubrimientos científicos o avances tecnológicos de gran complejidad. Estas innovaciones suelen estar basadas en áreas como la inteligencia artificial, la biotecnología, la nanotecnología, la robótica, el procesamiento cuántico y la ciencia de materiales. A diferencia de otras startups tecnológicas, las DeepTech suelen tener un enfoque a largo plazo y están dirigidas a resolver problemas fundamentales en sectores como la salud, la energía, el medio ambiente y la manufactura.</w:t>
      </w:r>
    </w:p>
    <w:p w14:paraId="1CE639D0"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InsurTech (Insurance Technology): </w:t>
      </w:r>
      <w:r>
        <w:rPr>
          <w:rFonts w:ascii="Times New Roman" w:eastAsia="Times New Roman" w:hAnsi="Times New Roman" w:cs="Times New Roman"/>
          <w:sz w:val="22"/>
          <w:szCs w:val="22"/>
        </w:rPr>
        <w:t>Sector de las startups que integra la tecnología en la industria aseguradora para ofrecer productos y servicios de seguros más personalizados, accesibles y eficientes. InsurTech incluye innovaciones como la automatización de procesos de suscripción, plataformas para cotización y comparación de seguros, análisis de datos en tiempo real para evaluar riesgos, seguros basados en el uso (Usage-based Insurance), y el uso de blockchain para la gestión de reclamaciones. Su objetivo es hacer más transparente y eficiente el acceso a los seguros, facilitando una mayor personalización para los consumidores.</w:t>
      </w:r>
    </w:p>
    <w:p w14:paraId="1CE639D1" w14:textId="77777777" w:rsidR="004D0443" w:rsidRDefault="00DA3067">
      <w:pPr>
        <w:numPr>
          <w:ilvl w:val="0"/>
          <w:numId w:val="1"/>
        </w:numPr>
        <w:spacing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MarTech (Marketing Technology): </w:t>
      </w:r>
      <w:r>
        <w:rPr>
          <w:rFonts w:ascii="Times New Roman" w:eastAsia="Times New Roman" w:hAnsi="Times New Roman" w:cs="Times New Roman"/>
          <w:sz w:val="22"/>
          <w:szCs w:val="22"/>
        </w:rPr>
        <w:t>Sector de las startups que desarrollan tecnologías para mejorar y optimizar el marketing digital y tradicional. MarTech abarca soluciones tecnológicas que incluyen la automatización de marketing, plataformas de gestión de relaciones con clientes (CRM), análisis de datos para campañas publicitarias, personalización de experiencias de usuario, y uso de inteligencia artificial para la creación de contenido y segmentación de audiencias. Estas tecnologías permiten a las empresas llegar de manera más efectiva a sus clientes, optimizar sus campañas y mejorar el retorno de inversión (ROI).</w:t>
      </w:r>
    </w:p>
    <w:p w14:paraId="1CE639D2"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3º. Estrategia Distrital de Inversión en Startups. </w:t>
      </w:r>
      <w:r>
        <w:rPr>
          <w:rFonts w:ascii="Times New Roman" w:eastAsia="Times New Roman" w:hAnsi="Times New Roman" w:cs="Times New Roman"/>
          <w:sz w:val="22"/>
          <w:szCs w:val="22"/>
        </w:rPr>
        <w:t>La Administración Distrital, en cabeza de la Secretaría Distrital de Desarrollo Económico y en coordinación con las demás entidades competentes, propenderá por la implementación de una estrategia de incentivos, estímulos y fomento que apoye la incubación, crecimiento, aceleración, fortalecimiento y sostenibilidad de startups en la ciudad en sectores estratégicos como HealthTech, LogTech, Telecom, FoodTech, RetailTech, EnergyTech, CleanTech, Edtech, AgTech, PropTech, Fintech, entre otros sectores de las Startups.</w:t>
      </w:r>
    </w:p>
    <w:p w14:paraId="1CE639D3"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 1.</w:t>
      </w:r>
      <w:r>
        <w:rPr>
          <w:rFonts w:ascii="Times New Roman" w:eastAsia="Times New Roman" w:hAnsi="Times New Roman" w:cs="Times New Roman"/>
          <w:sz w:val="22"/>
          <w:szCs w:val="22"/>
        </w:rPr>
        <w:t xml:space="preserve"> Las startups beneficiarias deberán demostrar un impacto positivo para la ciudad y contar con potencial de escalar a nivel regional, nacional e internacional.</w:t>
      </w:r>
    </w:p>
    <w:p w14:paraId="1CE639D4"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 2.</w:t>
      </w:r>
      <w:r>
        <w:rPr>
          <w:rFonts w:ascii="Times New Roman" w:eastAsia="Times New Roman" w:hAnsi="Times New Roman" w:cs="Times New Roman"/>
          <w:sz w:val="22"/>
          <w:szCs w:val="22"/>
        </w:rPr>
        <w:t xml:space="preserve"> La Administración Distrital promoverá convenios y alianzas con el sector público y privado, así como con organizaciones internacionales para facilitar el acceso a recursos financieros y redes de inversión por parte de las startups de la ciudad.</w:t>
      </w:r>
    </w:p>
    <w:p w14:paraId="1CE639D5"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4º. Incentivos por la generación de empleo. </w:t>
      </w:r>
      <w:r>
        <w:rPr>
          <w:rFonts w:ascii="Times New Roman" w:eastAsia="Times New Roman" w:hAnsi="Times New Roman" w:cs="Times New Roman"/>
          <w:sz w:val="22"/>
          <w:szCs w:val="22"/>
        </w:rPr>
        <w:t>La Administración Distrital, en cabeza de la Secretaría Distrital de Desarrollo Económico, incluirá a las startups de la ciudad como beneficiarias de los incentivos por la generación de empleo vigentes, incluyendo los referentes al subsidio a la nómina.</w:t>
      </w:r>
    </w:p>
    <w:p w14:paraId="1CE639D6"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5º. Asistencia técnica y mentoría. </w:t>
      </w:r>
      <w:r>
        <w:rPr>
          <w:rFonts w:ascii="Times New Roman" w:eastAsia="Times New Roman" w:hAnsi="Times New Roman" w:cs="Times New Roman"/>
          <w:sz w:val="22"/>
          <w:szCs w:val="22"/>
        </w:rPr>
        <w:t>La Administración Distrital a través de las entidades competentes brindará asistencia técnica, mentoría, asesoría legal y financiera, así como acceso a redes internacionales de innovación para las startups domiciliadas en la ciudad, incluyendo las que están en proceso de consolidación. Para ello, podrá establecer alianzas con incubadoras, aceleradoras, instituciones de educación superior, organismos internacionales, agencias de innovación, entre otros actores.</w:t>
      </w:r>
    </w:p>
    <w:p w14:paraId="1CE639D7"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6º. Acceso a infraestructura tecnológica. </w:t>
      </w:r>
      <w:r>
        <w:rPr>
          <w:rFonts w:ascii="Times New Roman" w:eastAsia="Times New Roman" w:hAnsi="Times New Roman" w:cs="Times New Roman"/>
          <w:sz w:val="22"/>
          <w:szCs w:val="22"/>
        </w:rPr>
        <w:t>La Administración Distrital, a través de las entidades competentes, promoverá que las startups de la ciudad tengan acceso a infraestructura tecnológica avanzada, redes de alta velocidad, laboratorios de innovación y espacios de coworking ya existentes.</w:t>
      </w:r>
    </w:p>
    <w:p w14:paraId="1CE639D8" w14:textId="77777777" w:rsidR="004D0443" w:rsidRDefault="00DA3067">
      <w:pPr>
        <w:spacing w:before="240" w:after="240" w:line="256" w:lineRule="auto"/>
        <w:jc w:val="both"/>
        <w:rPr>
          <w:rFonts w:ascii="Times New Roman" w:eastAsia="Times New Roman" w:hAnsi="Times New Roman" w:cs="Times New Roman"/>
          <w:highlight w:val="cyan"/>
        </w:rPr>
      </w:pPr>
      <w:r>
        <w:rPr>
          <w:rFonts w:ascii="Times New Roman" w:eastAsia="Times New Roman" w:hAnsi="Times New Roman" w:cs="Times New Roman"/>
          <w:b/>
          <w:sz w:val="22"/>
          <w:szCs w:val="22"/>
        </w:rPr>
        <w:t>Parágrafo.</w:t>
      </w:r>
      <w:r>
        <w:rPr>
          <w:rFonts w:ascii="Times New Roman" w:eastAsia="Times New Roman" w:hAnsi="Times New Roman" w:cs="Times New Roman"/>
          <w:sz w:val="22"/>
          <w:szCs w:val="22"/>
        </w:rPr>
        <w:t xml:space="preserve"> Esta infraestructura tecnológica podrá ser ofrecida en el futuro Campus de Ciencia, Tecnología e Innovación de Bogotá.</w:t>
      </w:r>
    </w:p>
    <w:p w14:paraId="1CE639D9"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7º. Fomento de startups en colegios y universidades. </w:t>
      </w:r>
      <w:r>
        <w:rPr>
          <w:rFonts w:ascii="Times New Roman" w:eastAsia="Times New Roman" w:hAnsi="Times New Roman" w:cs="Times New Roman"/>
          <w:sz w:val="22"/>
          <w:szCs w:val="22"/>
        </w:rPr>
        <w:t>La Administración Distrital, en cabeza de la Secretaría Distrital de Desarrollo Económico, la Secretaría de Educación del Distrito y en coordinación con las demás entidades competentes, implementará un plan, programa, proyecto y/o estrategia que impulse la creación de startups en las instituciones de educación básica, media y superior de Bogotá, a través de la cual se facilite su participación en el mercado y su potencial comercial.</w:t>
      </w:r>
    </w:p>
    <w:p w14:paraId="1CE639DA" w14:textId="77777777" w:rsidR="004D0443" w:rsidRDefault="00DA3067">
      <w:pPr>
        <w:spacing w:before="240" w:after="240" w:line="256" w:lineRule="auto"/>
        <w:jc w:val="both"/>
        <w:rPr>
          <w:sz w:val="22"/>
          <w:szCs w:val="22"/>
        </w:rPr>
      </w:pPr>
      <w:r>
        <w:rPr>
          <w:rFonts w:ascii="Times New Roman" w:eastAsia="Times New Roman" w:hAnsi="Times New Roman" w:cs="Times New Roman"/>
          <w:b/>
          <w:sz w:val="22"/>
          <w:szCs w:val="22"/>
        </w:rPr>
        <w:t xml:space="preserve">Parágrafo. </w:t>
      </w:r>
      <w:r>
        <w:rPr>
          <w:rFonts w:ascii="Times New Roman" w:eastAsia="Times New Roman" w:hAnsi="Times New Roman" w:cs="Times New Roman"/>
          <w:sz w:val="22"/>
          <w:szCs w:val="22"/>
        </w:rPr>
        <w:t>Las startups que surjan de las instituciones de educación básica, media y superior podrán tener acceso prioritario a espacios de coworking, asistencia técnica, prácticas de innovación abierta, mentoría, incentivos, estímulos y fomento por parte de la Administración Distrital y sus aliados estratégicos en el sector privado y la academia.</w:t>
      </w:r>
    </w:p>
    <w:p w14:paraId="1CE639DB" w14:textId="77777777" w:rsidR="004D0443" w:rsidRDefault="00DA3067">
      <w:pPr>
        <w:pBdr>
          <w:top w:val="nil"/>
          <w:left w:val="nil"/>
          <w:bottom w:val="nil"/>
          <w:right w:val="nil"/>
          <w:between w:val="nil"/>
        </w:pBdr>
        <w:spacing w:before="240" w:after="40" w:line="256" w:lineRule="auto"/>
        <w:jc w:val="both"/>
        <w:rPr>
          <w:color w:val="666666"/>
        </w:rPr>
      </w:pPr>
      <w:bookmarkStart w:id="13" w:name="_heading=h.30j0zll" w:colFirst="0" w:colLast="0"/>
      <w:bookmarkEnd w:id="13"/>
      <w:r>
        <w:rPr>
          <w:rFonts w:ascii="Times New Roman" w:eastAsia="Times New Roman" w:hAnsi="Times New Roman" w:cs="Times New Roman"/>
          <w:b/>
          <w:color w:val="000000"/>
          <w:sz w:val="22"/>
          <w:szCs w:val="22"/>
        </w:rPr>
        <w:t xml:space="preserve">Artículo 8º. Incentivos tributarios. </w:t>
      </w:r>
      <w:r>
        <w:rPr>
          <w:rFonts w:ascii="Times New Roman" w:eastAsia="Times New Roman" w:hAnsi="Times New Roman" w:cs="Times New Roman"/>
          <w:color w:val="000000"/>
          <w:sz w:val="22"/>
          <w:szCs w:val="22"/>
        </w:rPr>
        <w:t xml:space="preserve">La Administración Distrital, en cabeza de la Secretaría Distrital de Hacienda y en coordinación con las demás entidades competentes, realizará un estudio </w:t>
      </w:r>
      <w:r>
        <w:rPr>
          <w:rFonts w:ascii="Times New Roman" w:eastAsia="Times New Roman" w:hAnsi="Times New Roman" w:cs="Times New Roman"/>
          <w:sz w:val="22"/>
          <w:szCs w:val="22"/>
        </w:rPr>
        <w:t>sobre</w:t>
      </w:r>
      <w:r>
        <w:rPr>
          <w:rFonts w:ascii="Times New Roman" w:eastAsia="Times New Roman" w:hAnsi="Times New Roman" w:cs="Times New Roman"/>
          <w:color w:val="000000"/>
          <w:sz w:val="22"/>
          <w:szCs w:val="22"/>
        </w:rPr>
        <w:t xml:space="preserve"> la posibilidad de ofrecer incentivos tributarios para la creación y el desarrollo de startups en Bogotá, con el fin de consolidar a la ciudad como el epicentro de los emprendimiento emergentes en el país.</w:t>
      </w:r>
      <w:r>
        <w:rPr>
          <w:rFonts w:ascii="Times New Roman" w:eastAsia="Times New Roman" w:hAnsi="Times New Roman" w:cs="Times New Roman"/>
          <w:b/>
          <w:color w:val="000000"/>
          <w:sz w:val="22"/>
          <w:szCs w:val="22"/>
        </w:rPr>
        <w:br/>
      </w:r>
      <w:r>
        <w:rPr>
          <w:rFonts w:ascii="Times New Roman" w:eastAsia="Times New Roman" w:hAnsi="Times New Roman" w:cs="Times New Roman"/>
          <w:b/>
          <w:color w:val="000000"/>
          <w:sz w:val="22"/>
          <w:szCs w:val="22"/>
        </w:rPr>
        <w:br/>
        <w:t xml:space="preserve">Artículo 9°. Innovación y participación en eventos nacionales e internacionales. </w:t>
      </w:r>
      <w:r>
        <w:rPr>
          <w:rFonts w:ascii="Times New Roman" w:eastAsia="Times New Roman" w:hAnsi="Times New Roman" w:cs="Times New Roman"/>
          <w:color w:val="000000"/>
          <w:sz w:val="22"/>
          <w:szCs w:val="22"/>
        </w:rPr>
        <w:t>La Administración Distrital a través de las entidades competentes apoyará la participación de startups bogotanas en eventos nacionales e internacionales de innovación, así mismo, promoverá su realización en la ciudad, con el fin de impulsar el turismo, atraer inversión extranjera y facilitar el intercambio de experiencias en pro de la internacionalización de las iniciativas.</w:t>
      </w:r>
    </w:p>
    <w:p w14:paraId="1CE639DC"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4" w:name="_heading=h.3znysh7" w:colFirst="0" w:colLast="0"/>
      <w:bookmarkEnd w:id="14"/>
      <w:r>
        <w:rPr>
          <w:rFonts w:ascii="Times New Roman" w:eastAsia="Times New Roman" w:hAnsi="Times New Roman" w:cs="Times New Roman"/>
          <w:b/>
          <w:color w:val="000000"/>
          <w:sz w:val="22"/>
          <w:szCs w:val="22"/>
        </w:rPr>
        <w:t xml:space="preserve">Artículo 10º. Plataforma Distrital de Conexión Startups - Academia - Sector Privado. </w:t>
      </w:r>
      <w:r>
        <w:rPr>
          <w:rFonts w:ascii="Times New Roman" w:eastAsia="Times New Roman" w:hAnsi="Times New Roman" w:cs="Times New Roman"/>
          <w:color w:val="000000"/>
          <w:sz w:val="22"/>
          <w:szCs w:val="22"/>
        </w:rPr>
        <w:t>La Administración Distrital,</w:t>
      </w:r>
      <w:r>
        <w:rPr>
          <w:rFonts w:ascii="Times New Roman" w:eastAsia="Times New Roman" w:hAnsi="Times New Roman" w:cs="Times New Roman"/>
          <w:sz w:val="22"/>
          <w:szCs w:val="22"/>
        </w:rPr>
        <w:t xml:space="preserve"> </w:t>
      </w:r>
      <w:r>
        <w:rPr>
          <w:rFonts w:ascii="Times New Roman" w:eastAsia="Times New Roman" w:hAnsi="Times New Roman" w:cs="Times New Roman"/>
          <w:color w:val="000000"/>
          <w:sz w:val="22"/>
          <w:szCs w:val="22"/>
        </w:rPr>
        <w:t>a través de las entidades competentes, creará una plataforma digital que conecte a las startups de la ciudad con instituciones de educación superior, centros de investigación, inversionistas y empresas privadas, con el objetivo de fomentar la colaboración y transferencia de conocimiento.</w:t>
      </w:r>
    </w:p>
    <w:p w14:paraId="1CE639DD"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5" w:name="_heading=h.2et92p0" w:colFirst="0" w:colLast="0"/>
      <w:bookmarkEnd w:id="15"/>
      <w:r>
        <w:rPr>
          <w:rFonts w:ascii="Times New Roman" w:eastAsia="Times New Roman" w:hAnsi="Times New Roman" w:cs="Times New Roman"/>
          <w:b/>
          <w:color w:val="000000"/>
          <w:sz w:val="22"/>
          <w:szCs w:val="22"/>
        </w:rPr>
        <w:t>Parágrafo 1.</w:t>
      </w:r>
      <w:r>
        <w:rPr>
          <w:rFonts w:ascii="Times New Roman" w:eastAsia="Times New Roman" w:hAnsi="Times New Roman" w:cs="Times New Roman"/>
          <w:color w:val="000000"/>
          <w:sz w:val="22"/>
          <w:szCs w:val="22"/>
        </w:rPr>
        <w:t xml:space="preserve"> La plataforma de la que trata el presente artículo incluirá una base de datos abiertos de proyectos de innovación, soluciones tecnológicas y un sistema de matchmaking entre startups y potenciales inversores. </w:t>
      </w:r>
    </w:p>
    <w:p w14:paraId="1CE639DE"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6" w:name="_heading=h.yk4d1olq3pe8" w:colFirst="0" w:colLast="0"/>
      <w:bookmarkEnd w:id="16"/>
      <w:r>
        <w:rPr>
          <w:rFonts w:ascii="Times New Roman" w:eastAsia="Times New Roman" w:hAnsi="Times New Roman" w:cs="Times New Roman"/>
          <w:b/>
          <w:color w:val="000000"/>
          <w:sz w:val="22"/>
          <w:szCs w:val="22"/>
        </w:rPr>
        <w:t xml:space="preserve">Parágrafo 2. </w:t>
      </w:r>
      <w:r>
        <w:rPr>
          <w:rFonts w:ascii="Times New Roman" w:eastAsia="Times New Roman" w:hAnsi="Times New Roman" w:cs="Times New Roman"/>
          <w:color w:val="000000"/>
          <w:sz w:val="22"/>
          <w:szCs w:val="22"/>
        </w:rPr>
        <w:t>La plataforma de la que trata el presente artículo contará con un directorio georeferenciado para cada sector de las startups de la ciudad.</w:t>
      </w:r>
    </w:p>
    <w:p w14:paraId="1CE639DF" w14:textId="77777777" w:rsidR="004D0443" w:rsidRDefault="004D0443">
      <w:pPr>
        <w:jc w:val="both"/>
        <w:rPr>
          <w:rFonts w:ascii="Times New Roman" w:eastAsia="Times New Roman" w:hAnsi="Times New Roman" w:cs="Times New Roman"/>
          <w:sz w:val="22"/>
          <w:szCs w:val="22"/>
        </w:rPr>
      </w:pPr>
    </w:p>
    <w:p w14:paraId="1CE639E0"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Parágrafo 3. </w:t>
      </w:r>
      <w:r>
        <w:rPr>
          <w:rFonts w:ascii="Times New Roman" w:eastAsia="Times New Roman" w:hAnsi="Times New Roman" w:cs="Times New Roman"/>
          <w:sz w:val="22"/>
          <w:szCs w:val="22"/>
        </w:rPr>
        <w:t>Esta plataforma digital podrá estar integrada a ScaleupBog de Invest In Bogotá o la que haga sus veces.</w:t>
      </w:r>
    </w:p>
    <w:p w14:paraId="1CE639E1" w14:textId="77777777" w:rsidR="004D0443" w:rsidRDefault="004D0443">
      <w:pPr>
        <w:jc w:val="both"/>
        <w:rPr>
          <w:rFonts w:ascii="Times New Roman" w:eastAsia="Times New Roman" w:hAnsi="Times New Roman" w:cs="Times New Roman"/>
          <w:sz w:val="22"/>
          <w:szCs w:val="22"/>
        </w:rPr>
      </w:pPr>
    </w:p>
    <w:p w14:paraId="1CE639E2"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Artículo 11º. Capacitación para Startups Fintech.</w:t>
      </w:r>
      <w:r>
        <w:rPr>
          <w:rFonts w:ascii="Times New Roman" w:eastAsia="Times New Roman" w:hAnsi="Times New Roman" w:cs="Times New Roman"/>
          <w:sz w:val="22"/>
          <w:szCs w:val="22"/>
        </w:rPr>
        <w:t xml:space="preserve"> La Administración Distrital en articulación con instituciones de educación superior, el sector privado y las entidades del orden nacional, contará con una oferta de capacitación para startups bogotanas, en las cuales se provea orientación sobre los requisitos y trámites necesarios para participar en los sandbox regulatorios, como también en el desarrollo de modelos de negocio innovadores que se ajusten a la normatividad vigente.</w:t>
      </w:r>
    </w:p>
    <w:p w14:paraId="1CE639E3" w14:textId="77777777" w:rsidR="004D0443" w:rsidRDefault="004D0443">
      <w:pPr>
        <w:jc w:val="both"/>
        <w:rPr>
          <w:rFonts w:ascii="Times New Roman" w:eastAsia="Times New Roman" w:hAnsi="Times New Roman" w:cs="Times New Roman"/>
          <w:sz w:val="22"/>
          <w:szCs w:val="22"/>
        </w:rPr>
      </w:pPr>
    </w:p>
    <w:p w14:paraId="1CE639E4"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w:t>
      </w:r>
      <w:r>
        <w:rPr>
          <w:rFonts w:ascii="Times New Roman" w:eastAsia="Times New Roman" w:hAnsi="Times New Roman" w:cs="Times New Roman"/>
          <w:sz w:val="22"/>
          <w:szCs w:val="22"/>
        </w:rPr>
        <w:t xml:space="preserve"> Esta oferta de capacitación estará dirigida a startups en fases tempranas que se enfoquen en sectores Fintech como pagos digitales, criptoactivos, inteligencia artificial aplicada a servicios financieros, y otros modelos innovadores que promuevan la inclusión financiera.</w:t>
      </w:r>
    </w:p>
    <w:p w14:paraId="1CE639E5" w14:textId="77777777" w:rsidR="004D0443" w:rsidRDefault="004D0443">
      <w:pPr>
        <w:jc w:val="both"/>
        <w:rPr>
          <w:rFonts w:ascii="Times New Roman" w:eastAsia="Times New Roman" w:hAnsi="Times New Roman" w:cs="Times New Roman"/>
          <w:sz w:val="22"/>
          <w:szCs w:val="22"/>
        </w:rPr>
      </w:pPr>
    </w:p>
    <w:p w14:paraId="1CE639E6"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12º. Prioridad para Startups Fintech bogotanas en el Sandbox Regulatorio. </w:t>
      </w:r>
      <w:r>
        <w:rPr>
          <w:rFonts w:ascii="Times New Roman" w:eastAsia="Times New Roman" w:hAnsi="Times New Roman" w:cs="Times New Roman"/>
          <w:sz w:val="22"/>
          <w:szCs w:val="22"/>
        </w:rPr>
        <w:t>La Administración Distrital realizará las gestiones ante la Superintendencia Financiera de Colombia (SFC) para que las startups bogotanas tengan prioridad en el acceso al sandbox regulatorio, promoviendo así la experimentación de tecnologías financieras disruptivas dentro del territorio del Distrito Capital.</w:t>
      </w:r>
    </w:p>
    <w:p w14:paraId="1CE639E7" w14:textId="77777777" w:rsidR="004D0443" w:rsidRDefault="004D0443">
      <w:pPr>
        <w:jc w:val="both"/>
        <w:rPr>
          <w:rFonts w:ascii="Times New Roman" w:eastAsia="Times New Roman" w:hAnsi="Times New Roman" w:cs="Times New Roman"/>
          <w:sz w:val="22"/>
          <w:szCs w:val="22"/>
        </w:rPr>
      </w:pPr>
    </w:p>
    <w:p w14:paraId="1CE639E8"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13°. Fomento del Bilingüismo para el Ecosistema de Startups. </w:t>
      </w:r>
      <w:r>
        <w:rPr>
          <w:rFonts w:ascii="Times New Roman" w:eastAsia="Times New Roman" w:hAnsi="Times New Roman" w:cs="Times New Roman"/>
          <w:sz w:val="22"/>
          <w:szCs w:val="22"/>
        </w:rPr>
        <w:t>La Administración Distrital, a través de las entidades competentes, propenderá por el ofrecimiento de formación en inglés y otras lenguas extranjeras con el fin de fortalecer el bilingüismo dentro del ecosistema de startups en Bogotá. Lo anterior, con el propósito de mejorar las competencias lingüísticas de emprendedores, estudiantes, investigadores y profesionales vinculados a las startups, con miras a facilitar su inserción en mercados internacionales, promover la internacionalización de sus productos y servicios, así como aumentar la competitividad de la ciudad como un centro de innovación regional.</w:t>
      </w:r>
    </w:p>
    <w:p w14:paraId="1CE639E9"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14°. Enfoque de Género, Poblacional y Diferencial. </w:t>
      </w:r>
      <w:r>
        <w:rPr>
          <w:rFonts w:ascii="Times New Roman" w:eastAsia="Times New Roman" w:hAnsi="Times New Roman" w:cs="Times New Roman"/>
          <w:sz w:val="22"/>
          <w:szCs w:val="22"/>
        </w:rPr>
        <w:t>La Administración Distrital en la implementación de las disposiciones del presente Acuerdo dará prioridad a las startups lideradas por mujeres, personas cuidadoras, jóvenes, personas con discapacidad, comunidades étnicas, entre otros. El objetivo será promover la igualdad de oportunidades en el acceso a recursos financieros, formación técnica, mentoría y redes de inversión, contribuyendo a la diversidad y equidad en el ecosistema de emprendimiento del Distrito Capital.</w:t>
      </w:r>
    </w:p>
    <w:p w14:paraId="1CE639EA"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15°. Divulgación. </w:t>
      </w:r>
      <w:r>
        <w:rPr>
          <w:rFonts w:ascii="Times New Roman" w:eastAsia="Times New Roman" w:hAnsi="Times New Roman" w:cs="Times New Roman"/>
          <w:sz w:val="22"/>
          <w:szCs w:val="22"/>
        </w:rPr>
        <w:t>La Administración Distrital, en cabeza de las entidades competentes, llevará a cabo una estrategia de divulgación amplia y efectiva de las acciones establecidas en el presente Acuerdo. Esta estrategia podrá incluir campañas de comunicación en medios masivos, comunitarios y digitales, talleres y actividades pedagógicas en instituciones educativas y espacios comunitarios, así como la distribución de materiales informativos.</w:t>
      </w:r>
    </w:p>
    <w:p w14:paraId="1CE639EB" w14:textId="77777777" w:rsidR="004D0443" w:rsidRDefault="004D0443">
      <w:pPr>
        <w:jc w:val="both"/>
        <w:rPr>
          <w:rFonts w:ascii="Times New Roman" w:eastAsia="Times New Roman" w:hAnsi="Times New Roman" w:cs="Times New Roman"/>
          <w:sz w:val="22"/>
          <w:szCs w:val="22"/>
        </w:rPr>
      </w:pPr>
    </w:p>
    <w:p w14:paraId="1CE639EC"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16º. Informes. </w:t>
      </w:r>
      <w:r>
        <w:rPr>
          <w:rFonts w:ascii="Times New Roman" w:eastAsia="Times New Roman" w:hAnsi="Times New Roman" w:cs="Times New Roman"/>
          <w:sz w:val="22"/>
          <w:szCs w:val="22"/>
        </w:rPr>
        <w:t>La Administración Distrital, en cabeza de la Secretaría Distrital de Desarrollo Económico, la Secretaría Distrital de Hacienda, la Secretaría de Educación del Distrito y en coordinación con las demás entidades competentes, presentará al Concejo de Bogotá D.C. Cada 16 de abril, en el marco de la conmemoración del Día Mundial del Emprendimiento, un informe sobre la implementación del presente Acuerdo, que incluya el impacto de las startups en la economía de la ciudad.</w:t>
      </w:r>
    </w:p>
    <w:p w14:paraId="1CE639ED" w14:textId="77777777" w:rsidR="004D0443" w:rsidRDefault="004D0443">
      <w:pPr>
        <w:jc w:val="both"/>
        <w:rPr>
          <w:rFonts w:ascii="Times New Roman" w:eastAsia="Times New Roman" w:hAnsi="Times New Roman" w:cs="Times New Roman"/>
          <w:sz w:val="22"/>
          <w:szCs w:val="22"/>
        </w:rPr>
      </w:pPr>
    </w:p>
    <w:p w14:paraId="1CE639EE"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17º. Reglamentación. </w:t>
      </w:r>
      <w:r>
        <w:rPr>
          <w:rFonts w:ascii="Times New Roman" w:eastAsia="Times New Roman" w:hAnsi="Times New Roman" w:cs="Times New Roman"/>
          <w:sz w:val="22"/>
          <w:szCs w:val="22"/>
        </w:rPr>
        <w:t>La Administración Distrital reglamentará las disposiciones del presente Acuerdo en un plazo no mayor a seis (6) meses contados a partir de la fecha de su entrada en vigencia.</w:t>
      </w:r>
    </w:p>
    <w:p w14:paraId="1CE639EF" w14:textId="77777777" w:rsidR="004D0443" w:rsidRDefault="004D0443">
      <w:pPr>
        <w:jc w:val="both"/>
        <w:rPr>
          <w:rFonts w:ascii="Times New Roman" w:eastAsia="Times New Roman" w:hAnsi="Times New Roman" w:cs="Times New Roman"/>
          <w:b/>
          <w:sz w:val="22"/>
          <w:szCs w:val="22"/>
        </w:rPr>
      </w:pPr>
    </w:p>
    <w:p w14:paraId="1CE639F0" w14:textId="77777777" w:rsidR="004D0443" w:rsidRDefault="00DA3067">
      <w:pPr>
        <w:jc w:val="both"/>
        <w:rPr>
          <w:rFonts w:ascii="Times New Roman" w:eastAsia="Times New Roman" w:hAnsi="Times New Roman" w:cs="Times New Roman"/>
          <w:b/>
          <w:i/>
          <w:sz w:val="22"/>
          <w:szCs w:val="22"/>
        </w:rPr>
      </w:pPr>
      <w:r>
        <w:rPr>
          <w:rFonts w:ascii="Times New Roman" w:eastAsia="Times New Roman" w:hAnsi="Times New Roman" w:cs="Times New Roman"/>
          <w:b/>
          <w:sz w:val="22"/>
          <w:szCs w:val="22"/>
        </w:rPr>
        <w:t xml:space="preserve">Artículo 18º. Vigencia . </w:t>
      </w:r>
      <w:r>
        <w:rPr>
          <w:rFonts w:ascii="Times New Roman" w:eastAsia="Times New Roman" w:hAnsi="Times New Roman" w:cs="Times New Roman"/>
          <w:sz w:val="22"/>
          <w:szCs w:val="22"/>
        </w:rPr>
        <w:t>El presente Acuerdo rige a partir de la fecha de su publicación.</w:t>
      </w:r>
    </w:p>
    <w:p w14:paraId="1CE639F1" w14:textId="77777777" w:rsidR="004D0443" w:rsidRDefault="004D0443">
      <w:pPr>
        <w:jc w:val="both"/>
        <w:rPr>
          <w:rFonts w:ascii="Times New Roman" w:eastAsia="Times New Roman" w:hAnsi="Times New Roman" w:cs="Times New Roman"/>
          <w:sz w:val="22"/>
          <w:szCs w:val="22"/>
        </w:rPr>
      </w:pPr>
    </w:p>
    <w:p w14:paraId="1CE639F2" w14:textId="77777777" w:rsidR="004D0443" w:rsidRDefault="00DA3067">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PUBLÍQUESE Y CÚMPLASE</w:t>
      </w:r>
    </w:p>
    <w:p w14:paraId="1CE639F3" w14:textId="77777777" w:rsidR="004D0443" w:rsidRDefault="004D0443">
      <w:pPr>
        <w:jc w:val="both"/>
        <w:rPr>
          <w:rFonts w:ascii="Times New Roman" w:eastAsia="Times New Roman" w:hAnsi="Times New Roman" w:cs="Times New Roman"/>
          <w:sz w:val="22"/>
          <w:szCs w:val="22"/>
        </w:rPr>
      </w:pPr>
    </w:p>
    <w:p w14:paraId="1CE639F4" w14:textId="77777777" w:rsidR="004D0443" w:rsidRDefault="004D0443">
      <w:pPr>
        <w:pBdr>
          <w:top w:val="nil"/>
          <w:left w:val="nil"/>
          <w:bottom w:val="nil"/>
          <w:right w:val="nil"/>
          <w:between w:val="nil"/>
        </w:pBdr>
        <w:spacing w:before="220" w:after="40" w:line="256" w:lineRule="auto"/>
        <w:jc w:val="both"/>
        <w:rPr>
          <w:rFonts w:ascii="Times New Roman" w:eastAsia="Times New Roman" w:hAnsi="Times New Roman" w:cs="Times New Roman"/>
          <w:b/>
          <w:color w:val="243F60"/>
        </w:rPr>
      </w:pPr>
      <w:bookmarkStart w:id="17" w:name="_heading=h.6va1ef95zvtl" w:colFirst="0" w:colLast="0"/>
      <w:bookmarkEnd w:id="17"/>
    </w:p>
    <w:p w14:paraId="1CE639F5"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b/>
          <w:color w:val="000000"/>
          <w:sz w:val="22"/>
          <w:szCs w:val="22"/>
        </w:rPr>
      </w:pPr>
      <w:bookmarkStart w:id="18" w:name="_heading=h.kjhb6djejv4e" w:colFirst="0" w:colLast="0"/>
      <w:bookmarkEnd w:id="18"/>
      <w:r>
        <w:rPr>
          <w:rFonts w:ascii="Times New Roman" w:eastAsia="Times New Roman" w:hAnsi="Times New Roman" w:cs="Times New Roman"/>
          <w:color w:val="000000"/>
          <w:sz w:val="22"/>
          <w:szCs w:val="22"/>
        </w:rPr>
        <w:br/>
      </w:r>
    </w:p>
    <w:p w14:paraId="1CE639F6" w14:textId="77777777" w:rsidR="004D0443" w:rsidRDefault="004D0443">
      <w:pPr>
        <w:spacing w:after="160" w:line="256" w:lineRule="auto"/>
        <w:rPr>
          <w:rFonts w:ascii="Times New Roman" w:eastAsia="Times New Roman" w:hAnsi="Times New Roman" w:cs="Times New Roman"/>
          <w:b/>
          <w:sz w:val="22"/>
          <w:szCs w:val="22"/>
        </w:rPr>
      </w:pPr>
    </w:p>
    <w:sectPr w:rsidR="004D0443">
      <w:headerReference w:type="default" r:id="rId26"/>
      <w:footerReference w:type="even" r:id="rId27"/>
      <w:footerReference w:type="default" r:id="rId28"/>
      <w:pgSz w:w="12242" w:h="15842"/>
      <w:pgMar w:top="1700" w:right="1700" w:bottom="1700" w:left="1700" w:header="709"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E63A39" w14:textId="77777777" w:rsidR="0009008E" w:rsidRDefault="00DA3067">
      <w:r>
        <w:separator/>
      </w:r>
    </w:p>
  </w:endnote>
  <w:endnote w:type="continuationSeparator" w:id="0">
    <w:p w14:paraId="1CE63A3B" w14:textId="77777777" w:rsidR="0009008E" w:rsidRDefault="00DA30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auto"/>
    <w:pitch w:val="default"/>
  </w:font>
  <w:font w:name="Segoe UI">
    <w:panose1 w:val="020B0502040204020203"/>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2D" w14:textId="77777777" w:rsidR="004D0443" w:rsidRDefault="00DA3067">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end"/>
    </w:r>
  </w:p>
  <w:p w14:paraId="1CE63A2E" w14:textId="77777777" w:rsidR="004D0443" w:rsidRDefault="004D0443">
    <w:pPr>
      <w:pBdr>
        <w:top w:val="nil"/>
        <w:left w:val="nil"/>
        <w:bottom w:val="nil"/>
        <w:right w:val="nil"/>
        <w:between w:val="nil"/>
      </w:pBdr>
      <w:tabs>
        <w:tab w:val="center" w:pos="4252"/>
        <w:tab w:val="right" w:pos="8504"/>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2F" w14:textId="77777777" w:rsidR="004D0443" w:rsidRDefault="004D0443">
    <w:pPr>
      <w:pBdr>
        <w:top w:val="nil"/>
        <w:left w:val="nil"/>
        <w:bottom w:val="nil"/>
        <w:right w:val="nil"/>
        <w:between w:val="nil"/>
      </w:pBdr>
      <w:tabs>
        <w:tab w:val="center" w:pos="4252"/>
        <w:tab w:val="right" w:pos="8504"/>
      </w:tabs>
      <w:jc w:val="center"/>
      <w:rPr>
        <w:color w:val="000000"/>
        <w:sz w:val="18"/>
        <w:szCs w:val="18"/>
      </w:rPr>
    </w:pPr>
  </w:p>
  <w:p w14:paraId="1CE63A30" w14:textId="77777777" w:rsidR="004D0443" w:rsidRDefault="004D0443">
    <w:pPr>
      <w:pBdr>
        <w:top w:val="nil"/>
        <w:left w:val="nil"/>
        <w:bottom w:val="nil"/>
        <w:right w:val="nil"/>
        <w:between w:val="nil"/>
      </w:pBdr>
      <w:tabs>
        <w:tab w:val="center" w:pos="4252"/>
        <w:tab w:val="right" w:pos="8504"/>
      </w:tabs>
      <w:jc w:val="center"/>
      <w:rPr>
        <w:color w:val="000000"/>
        <w:sz w:val="18"/>
        <w:szCs w:val="18"/>
      </w:rPr>
    </w:pPr>
  </w:p>
  <w:p w14:paraId="1CE63A31" w14:textId="77777777" w:rsidR="004D0443" w:rsidRDefault="004D0443">
    <w:pPr>
      <w:pBdr>
        <w:top w:val="nil"/>
        <w:left w:val="nil"/>
        <w:bottom w:val="nil"/>
        <w:right w:val="nil"/>
        <w:between w:val="nil"/>
      </w:pBdr>
      <w:tabs>
        <w:tab w:val="center" w:pos="4252"/>
        <w:tab w:val="right" w:pos="8504"/>
      </w:tabs>
      <w:jc w:val="center"/>
      <w:rPr>
        <w:color w:val="000000"/>
        <w:sz w:val="16"/>
        <w:szCs w:val="16"/>
      </w:rPr>
    </w:pPr>
  </w:p>
  <w:p w14:paraId="1CE63A32" w14:textId="77777777" w:rsidR="004D0443" w:rsidRDefault="004D0443">
    <w:pPr>
      <w:pBdr>
        <w:top w:val="nil"/>
        <w:left w:val="nil"/>
        <w:bottom w:val="nil"/>
        <w:right w:val="nil"/>
        <w:between w:val="nil"/>
      </w:pBdr>
      <w:tabs>
        <w:tab w:val="center" w:pos="4252"/>
        <w:tab w:val="right" w:pos="8504"/>
      </w:tabs>
      <w:rPr>
        <w:color w:val="000000"/>
        <w:sz w:val="16"/>
        <w:szCs w:val="16"/>
      </w:rPr>
    </w:pPr>
  </w:p>
  <w:p w14:paraId="1CE63A33" w14:textId="77777777" w:rsidR="004D0443" w:rsidRDefault="004D0443">
    <w:pPr>
      <w:pBdr>
        <w:top w:val="nil"/>
        <w:left w:val="nil"/>
        <w:bottom w:val="nil"/>
        <w:right w:val="nil"/>
        <w:between w:val="nil"/>
      </w:pBdr>
      <w:tabs>
        <w:tab w:val="center" w:pos="4252"/>
        <w:tab w:val="right" w:pos="8504"/>
      </w:tabs>
      <w:rPr>
        <w:color w:val="000000"/>
        <w:sz w:val="16"/>
        <w:szCs w:val="16"/>
      </w:rPr>
    </w:pPr>
  </w:p>
  <w:p w14:paraId="1CE63A34" w14:textId="77777777" w:rsidR="004D0443" w:rsidRDefault="004D0443">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E63A35" w14:textId="77777777" w:rsidR="0009008E" w:rsidRDefault="00DA3067">
      <w:r>
        <w:separator/>
      </w:r>
    </w:p>
  </w:footnote>
  <w:footnote w:type="continuationSeparator" w:id="0">
    <w:p w14:paraId="1CE63A37" w14:textId="77777777" w:rsidR="0009008E" w:rsidRDefault="00DA3067">
      <w:r>
        <w:continuationSeparator/>
      </w:r>
    </w:p>
  </w:footnote>
  <w:footnote w:id="1">
    <w:p w14:paraId="1CE63A3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Escartín, D., Marimon, À., Rius, A., Vilaseca, X., &amp; Vives, À. (2020). </w:t>
      </w:r>
      <w:r>
        <w:rPr>
          <w:rFonts w:ascii="Times New Roman" w:eastAsia="Times New Roman" w:hAnsi="Times New Roman" w:cs="Times New Roman"/>
          <w:i/>
          <w:sz w:val="20"/>
          <w:szCs w:val="20"/>
        </w:rPr>
        <w:t>Startup: Concepto y ciclo de vida</w:t>
      </w:r>
      <w:r>
        <w:rPr>
          <w:rFonts w:ascii="Times New Roman" w:eastAsia="Times New Roman" w:hAnsi="Times New Roman" w:cs="Times New Roman"/>
          <w:sz w:val="20"/>
          <w:szCs w:val="20"/>
        </w:rPr>
        <w:t xml:space="preserve">. Revista de Contabilidad y Dirección, 30, 13-21. Recuperado de </w:t>
      </w:r>
      <w:hyperlink r:id="rId1" w:anchor=":~:text=Blumenthal%20(1983),%20cofundador%20y%20co-CEO%20de">
        <w:r>
          <w:rPr>
            <w:rFonts w:ascii="Times New Roman" w:eastAsia="Times New Roman" w:hAnsi="Times New Roman" w:cs="Times New Roman"/>
            <w:color w:val="1155CC"/>
            <w:sz w:val="20"/>
            <w:szCs w:val="20"/>
            <w:u w:val="single"/>
          </w:rPr>
          <w:t>https://accid.org/wp-content/uploads/2021/08/RCD30_Startups_cast-Startup-Concepto-y-ciclo-de-vida.pdf</w:t>
        </w:r>
      </w:hyperlink>
    </w:p>
  </w:footnote>
  <w:footnote w:id="2">
    <w:p w14:paraId="1CE63A3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Fazio, B. R. (2019). </w:t>
      </w:r>
      <w:r>
        <w:rPr>
          <w:rFonts w:ascii="Times New Roman" w:eastAsia="Times New Roman" w:hAnsi="Times New Roman" w:cs="Times New Roman"/>
          <w:i/>
          <w:sz w:val="20"/>
          <w:szCs w:val="20"/>
        </w:rPr>
        <w:t>Startups: La nueva manera de hacer negocios</w:t>
      </w:r>
      <w:r>
        <w:rPr>
          <w:rFonts w:ascii="Times New Roman" w:eastAsia="Times New Roman" w:hAnsi="Times New Roman" w:cs="Times New Roman"/>
          <w:sz w:val="20"/>
          <w:szCs w:val="20"/>
        </w:rPr>
        <w:t xml:space="preserve">. Trabajo de investigación, Universidad Nacional de Cuyo. Recuperado de: </w:t>
      </w:r>
      <w:hyperlink r:id="rId2" w:anchor=":~:text=El%20objetivo%20principal%20del%20presente%20trabajo">
        <w:r>
          <w:rPr>
            <w:rFonts w:ascii="Times New Roman" w:eastAsia="Times New Roman" w:hAnsi="Times New Roman" w:cs="Times New Roman"/>
            <w:color w:val="1155CC"/>
            <w:sz w:val="20"/>
            <w:szCs w:val="20"/>
            <w:u w:val="single"/>
          </w:rPr>
          <w:t>https://bdigital.uncu.edu.ar/objetos_digitales/15764/startupslanuevamaneradehacernegocios.pdf</w:t>
        </w:r>
      </w:hyperlink>
    </w:p>
  </w:footnote>
  <w:footnote w:id="3">
    <w:p w14:paraId="1CE63A3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Centro de Documentación Europea y Europe Direct de la Comunidad de Madrid. (2016). </w:t>
      </w:r>
      <w:r>
        <w:rPr>
          <w:rFonts w:ascii="Times New Roman" w:eastAsia="Times New Roman" w:hAnsi="Times New Roman" w:cs="Times New Roman"/>
          <w:i/>
          <w:sz w:val="20"/>
          <w:szCs w:val="20"/>
        </w:rPr>
        <w:t>Ficha práctica: ¿Qué es una startup?</w:t>
      </w:r>
      <w:r>
        <w:rPr>
          <w:rFonts w:ascii="Times New Roman" w:eastAsia="Times New Roman" w:hAnsi="Times New Roman" w:cs="Times New Roman"/>
          <w:sz w:val="20"/>
          <w:szCs w:val="20"/>
        </w:rPr>
        <w:t xml:space="preserve"> Recuperado de</w:t>
      </w:r>
      <w:hyperlink r:id="rId3">
        <w:r>
          <w:rPr>
            <w:rFonts w:ascii="Times New Roman" w:eastAsia="Times New Roman" w:hAnsi="Times New Roman" w:cs="Times New Roman"/>
            <w:sz w:val="20"/>
            <w:szCs w:val="20"/>
          </w:rPr>
          <w:t xml:space="preserve"> </w:t>
        </w:r>
      </w:hyperlink>
      <w:hyperlink r:id="rId4" w:anchor=":~:text=Una%20startup%20es%20una%20empresa%20peque%C3%B1a">
        <w:r>
          <w:rPr>
            <w:rFonts w:ascii="Times New Roman" w:eastAsia="Times New Roman" w:hAnsi="Times New Roman" w:cs="Times New Roman"/>
            <w:color w:val="1155CC"/>
            <w:sz w:val="20"/>
            <w:szCs w:val="20"/>
            <w:u w:val="single"/>
          </w:rPr>
          <w:t>https://www.comunidad.madrid/sites/default/files/29_dgae_ficha_practica._que_es_una_starup.pdf</w:t>
        </w:r>
      </w:hyperlink>
    </w:p>
  </w:footnote>
  <w:footnote w:id="4">
    <w:p w14:paraId="1CE63A3A"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
    <w:p w14:paraId="1CE63A3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Solís Tepexpa, S., &amp; Torres Castañeda, K. (2022). </w:t>
      </w:r>
      <w:r>
        <w:rPr>
          <w:rFonts w:ascii="Times New Roman" w:eastAsia="Times New Roman" w:hAnsi="Times New Roman" w:cs="Times New Roman"/>
          <w:i/>
          <w:sz w:val="20"/>
          <w:szCs w:val="20"/>
        </w:rPr>
        <w:t>Importancia de las startups en la economía del siglo XXI</w:t>
      </w:r>
      <w:r>
        <w:rPr>
          <w:rFonts w:ascii="Times New Roman" w:eastAsia="Times New Roman" w:hAnsi="Times New Roman" w:cs="Times New Roman"/>
          <w:sz w:val="20"/>
          <w:szCs w:val="20"/>
        </w:rPr>
        <w:t xml:space="preserve">. Gestión y Estrategia, 61, 45-62. Recuperado de: </w:t>
      </w:r>
      <w:hyperlink r:id="rId5">
        <w:r>
          <w:rPr>
            <w:rFonts w:ascii="Times New Roman" w:eastAsia="Times New Roman" w:hAnsi="Times New Roman" w:cs="Times New Roman"/>
            <w:color w:val="1155CC"/>
            <w:sz w:val="20"/>
            <w:szCs w:val="20"/>
            <w:u w:val="single"/>
          </w:rPr>
          <w:t>https://www.researchgate.net/publication/359071428_Importance_of_startup_in_the_21st_Century_Economy</w:t>
        </w:r>
      </w:hyperlink>
      <w:r>
        <w:rPr>
          <w:rFonts w:ascii="Times New Roman" w:eastAsia="Times New Roman" w:hAnsi="Times New Roman" w:cs="Times New Roman"/>
          <w:sz w:val="20"/>
          <w:szCs w:val="20"/>
        </w:rPr>
        <w:t xml:space="preserve"> </w:t>
      </w:r>
    </w:p>
  </w:footnote>
  <w:footnote w:id="6">
    <w:p w14:paraId="1CE63A3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
    <w:p w14:paraId="1CE63A3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Buchholz, K. (2023, November 14). </w:t>
      </w:r>
      <w:r>
        <w:rPr>
          <w:rFonts w:ascii="Times New Roman" w:eastAsia="Times New Roman" w:hAnsi="Times New Roman" w:cs="Times New Roman"/>
          <w:i/>
          <w:sz w:val="20"/>
          <w:szCs w:val="20"/>
        </w:rPr>
        <w:t>Infographic: The Highest-Valued Startups in the World</w:t>
      </w:r>
      <w:r>
        <w:rPr>
          <w:rFonts w:ascii="Times New Roman" w:eastAsia="Times New Roman" w:hAnsi="Times New Roman" w:cs="Times New Roman"/>
          <w:sz w:val="20"/>
          <w:szCs w:val="20"/>
        </w:rPr>
        <w:t xml:space="preserve">. Statista Daily Data; Statista. Recuperado de: </w:t>
      </w:r>
      <w:hyperlink r:id="rId6" w:anchor=":~:text=Nov%2014,%202023.%20According%20to%20the%20CB%20Insights%20unicorn%20list">
        <w:r>
          <w:rPr>
            <w:rFonts w:ascii="Times New Roman" w:eastAsia="Times New Roman" w:hAnsi="Times New Roman" w:cs="Times New Roman"/>
            <w:color w:val="1155CC"/>
            <w:sz w:val="20"/>
            <w:szCs w:val="20"/>
            <w:u w:val="single"/>
          </w:rPr>
          <w:t>https://www.statista.com/chart/19317/highest-valued-startup-companies-in-the-world/#:~:text=Nov%2014,%202023.%20According%20to%20the%20CB%20Insights%20unicorn%20list</w:t>
        </w:r>
      </w:hyperlink>
      <w:r>
        <w:rPr>
          <w:rFonts w:ascii="Times New Roman" w:eastAsia="Times New Roman" w:hAnsi="Times New Roman" w:cs="Times New Roman"/>
          <w:sz w:val="20"/>
          <w:szCs w:val="20"/>
        </w:rPr>
        <w:t xml:space="preserve">, </w:t>
      </w:r>
    </w:p>
  </w:footnote>
  <w:footnote w:id="8">
    <w:p w14:paraId="1CE63A3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9">
    <w:p w14:paraId="1CE63A3F"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CB Insights. (2024). </w:t>
      </w:r>
      <w:r>
        <w:rPr>
          <w:rFonts w:ascii="Times New Roman" w:eastAsia="Times New Roman" w:hAnsi="Times New Roman" w:cs="Times New Roman"/>
          <w:i/>
          <w:sz w:val="20"/>
          <w:szCs w:val="20"/>
        </w:rPr>
        <w:t>The Complete List Of Unicorn Companies</w:t>
      </w:r>
      <w:r>
        <w:rPr>
          <w:rFonts w:ascii="Times New Roman" w:eastAsia="Times New Roman" w:hAnsi="Times New Roman" w:cs="Times New Roman"/>
          <w:sz w:val="20"/>
          <w:szCs w:val="20"/>
        </w:rPr>
        <w:t xml:space="preserve">. CB Insights. Recuperado de: </w:t>
      </w:r>
      <w:hyperlink r:id="rId7">
        <w:r>
          <w:rPr>
            <w:rFonts w:ascii="Times New Roman" w:eastAsia="Times New Roman" w:hAnsi="Times New Roman" w:cs="Times New Roman"/>
            <w:color w:val="1155CC"/>
            <w:sz w:val="20"/>
            <w:szCs w:val="20"/>
            <w:u w:val="single"/>
          </w:rPr>
          <w:t>https://www.cbinsights.com/research-unicorn-companies</w:t>
        </w:r>
      </w:hyperlink>
      <w:r>
        <w:rPr>
          <w:rFonts w:ascii="Times New Roman" w:eastAsia="Times New Roman" w:hAnsi="Times New Roman" w:cs="Times New Roman"/>
          <w:sz w:val="20"/>
          <w:szCs w:val="20"/>
        </w:rPr>
        <w:t xml:space="preserve"> </w:t>
      </w:r>
    </w:p>
  </w:footnote>
  <w:footnote w:id="10">
    <w:p w14:paraId="1CE63A4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1">
    <w:p w14:paraId="1CE63A4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Hurun Report. (2023). Global Unicorn Index 2023. </w:t>
      </w:r>
      <w:r>
        <w:rPr>
          <w:rFonts w:ascii="Times New Roman" w:eastAsia="Times New Roman" w:hAnsi="Times New Roman" w:cs="Times New Roman"/>
          <w:i/>
          <w:sz w:val="20"/>
          <w:szCs w:val="20"/>
        </w:rPr>
        <w:t>Hurun Report</w:t>
      </w:r>
      <w:r>
        <w:rPr>
          <w:rFonts w:ascii="Times New Roman" w:eastAsia="Times New Roman" w:hAnsi="Times New Roman" w:cs="Times New Roman"/>
          <w:sz w:val="20"/>
          <w:szCs w:val="20"/>
        </w:rPr>
        <w:t xml:space="preserve">. Recuperado de: </w:t>
      </w:r>
      <w:hyperlink r:id="rId8">
        <w:r>
          <w:rPr>
            <w:rFonts w:ascii="Times New Roman" w:eastAsia="Times New Roman" w:hAnsi="Times New Roman" w:cs="Times New Roman"/>
            <w:color w:val="1155CC"/>
            <w:sz w:val="20"/>
            <w:szCs w:val="20"/>
            <w:u w:val="single"/>
          </w:rPr>
          <w:t>https://www.hurun.net/en-US/Info/Detail?num=3OEJNGKGFPDS</w:t>
        </w:r>
      </w:hyperlink>
      <w:r>
        <w:rPr>
          <w:rFonts w:ascii="Times New Roman" w:eastAsia="Times New Roman" w:hAnsi="Times New Roman" w:cs="Times New Roman"/>
          <w:sz w:val="20"/>
          <w:szCs w:val="20"/>
        </w:rPr>
        <w:t xml:space="preserve"> </w:t>
      </w:r>
    </w:p>
  </w:footnote>
  <w:footnote w:id="12">
    <w:p w14:paraId="1CE63A42"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3">
    <w:p w14:paraId="1CE63A4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Tech Economy. (2023). Breakdown of the world’s highest valued startups. Tech Economy. Recuperado de: </w:t>
      </w:r>
      <w:hyperlink r:id="rId9">
        <w:r>
          <w:rPr>
            <w:rFonts w:ascii="Times New Roman" w:eastAsia="Times New Roman" w:hAnsi="Times New Roman" w:cs="Times New Roman"/>
            <w:color w:val="1155CC"/>
            <w:sz w:val="20"/>
            <w:szCs w:val="20"/>
            <w:u w:val="single"/>
          </w:rPr>
          <w:t>https://techeconomy.ng/breakdown-of-the-worlds-highest-valued-startups/</w:t>
        </w:r>
      </w:hyperlink>
      <w:r>
        <w:rPr>
          <w:rFonts w:ascii="Times New Roman" w:eastAsia="Times New Roman" w:hAnsi="Times New Roman" w:cs="Times New Roman"/>
          <w:sz w:val="20"/>
          <w:szCs w:val="20"/>
        </w:rPr>
        <w:t xml:space="preserve">  </w:t>
      </w:r>
    </w:p>
  </w:footnote>
  <w:footnote w:id="14">
    <w:p w14:paraId="1CE63A44"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5">
    <w:p w14:paraId="1CE63A45"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6">
    <w:p w14:paraId="1CE63A4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Celada, D. (2019). </w:t>
      </w:r>
      <w:r>
        <w:rPr>
          <w:rFonts w:ascii="Times New Roman" w:eastAsia="Times New Roman" w:hAnsi="Times New Roman" w:cs="Times New Roman"/>
          <w:i/>
          <w:sz w:val="20"/>
          <w:szCs w:val="20"/>
        </w:rPr>
        <w:t>Las startups en el nuevo entorno económico mundial: Factores principales para su desarrollo</w:t>
      </w:r>
      <w:r>
        <w:rPr>
          <w:rFonts w:ascii="Times New Roman" w:eastAsia="Times New Roman" w:hAnsi="Times New Roman" w:cs="Times New Roman"/>
          <w:sz w:val="20"/>
          <w:szCs w:val="20"/>
        </w:rPr>
        <w:t xml:space="preserve">. Facultad de Ciencias Económicas y Empresariales. Recuperado de: </w:t>
      </w:r>
      <w:hyperlink r:id="rId10">
        <w:r>
          <w:rPr>
            <w:rFonts w:ascii="Times New Roman" w:eastAsia="Times New Roman" w:hAnsi="Times New Roman" w:cs="Times New Roman"/>
            <w:color w:val="1155CC"/>
            <w:sz w:val="20"/>
            <w:szCs w:val="20"/>
            <w:u w:val="single"/>
          </w:rPr>
          <w:t>https://repositorio.comillas.edu/xmlui/bitstream/handle/11531/31245/TFG%20Celada%20Lopez%2C%20Daniel.pdf?sequence=1</w:t>
        </w:r>
      </w:hyperlink>
      <w:r>
        <w:rPr>
          <w:rFonts w:ascii="Times New Roman" w:eastAsia="Times New Roman" w:hAnsi="Times New Roman" w:cs="Times New Roman"/>
          <w:sz w:val="20"/>
          <w:szCs w:val="20"/>
        </w:rPr>
        <w:t xml:space="preserve">  </w:t>
      </w:r>
    </w:p>
  </w:footnote>
  <w:footnote w:id="17">
    <w:p w14:paraId="1CE63A4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Salazar, D. (2024). </w:t>
      </w:r>
      <w:r>
        <w:rPr>
          <w:rFonts w:ascii="Times New Roman" w:eastAsia="Times New Roman" w:hAnsi="Times New Roman" w:cs="Times New Roman"/>
          <w:i/>
          <w:sz w:val="20"/>
          <w:szCs w:val="20"/>
        </w:rPr>
        <w:t xml:space="preserve">Los 8 cambios que redefinen la realidad de las startups globales de cara a 2024. </w:t>
      </w:r>
      <w:r>
        <w:rPr>
          <w:rFonts w:ascii="Times New Roman" w:eastAsia="Times New Roman" w:hAnsi="Times New Roman" w:cs="Times New Roman"/>
          <w:sz w:val="20"/>
          <w:szCs w:val="20"/>
        </w:rPr>
        <w:t xml:space="preserve">Bloomberg Línea. Recuperado de: </w:t>
      </w:r>
      <w:hyperlink r:id="rId11">
        <w:r>
          <w:rPr>
            <w:rFonts w:ascii="Times New Roman" w:eastAsia="Times New Roman" w:hAnsi="Times New Roman" w:cs="Times New Roman"/>
            <w:color w:val="1155CC"/>
            <w:sz w:val="20"/>
            <w:szCs w:val="20"/>
            <w:u w:val="single"/>
          </w:rPr>
          <w:t>https://www.bloomberglinea.com/2024/01/27/los-8-cambios-que-redefinen-la-realidad-de-las-startups-globales-de-cara-a-2024/</w:t>
        </w:r>
      </w:hyperlink>
    </w:p>
  </w:footnote>
  <w:footnote w:id="18">
    <w:p w14:paraId="1CE63A48"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9">
    <w:p w14:paraId="1CE63A49"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20">
    <w:p w14:paraId="1CE63A4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Legislação da Presidência</w:t>
      </w:r>
      <w:r>
        <w:rPr>
          <w:rFonts w:ascii="Times New Roman" w:eastAsia="Times New Roman" w:hAnsi="Times New Roman" w:cs="Times New Roman"/>
          <w:sz w:val="22"/>
          <w:szCs w:val="22"/>
        </w:rPr>
        <w:t xml:space="preserve">. </w:t>
      </w:r>
      <w:r>
        <w:rPr>
          <w:rFonts w:ascii="Times New Roman" w:eastAsia="Times New Roman" w:hAnsi="Times New Roman" w:cs="Times New Roman"/>
          <w:sz w:val="20"/>
          <w:szCs w:val="20"/>
        </w:rPr>
        <w:t xml:space="preserve">(2021). Base Legislação da Presidência da República - Lei Complementar no 182 de 01 de junho de 2021. Recuperado de: </w:t>
      </w:r>
      <w:hyperlink r:id="rId12">
        <w:r>
          <w:rPr>
            <w:rFonts w:ascii="Times New Roman" w:eastAsia="Times New Roman" w:hAnsi="Times New Roman" w:cs="Times New Roman"/>
            <w:color w:val="1155CC"/>
            <w:sz w:val="20"/>
            <w:szCs w:val="20"/>
            <w:u w:val="single"/>
          </w:rPr>
          <w:t>https://legislacao.presidencia.gov.br/atos/?tipo=LCP&amp;numero=182&amp;ano=2021&amp;ato=7dbMTUU5UMZpWT177</w:t>
        </w:r>
      </w:hyperlink>
      <w:r>
        <w:rPr>
          <w:rFonts w:ascii="Times New Roman" w:eastAsia="Times New Roman" w:hAnsi="Times New Roman" w:cs="Times New Roman"/>
          <w:sz w:val="20"/>
          <w:szCs w:val="20"/>
        </w:rPr>
        <w:t xml:space="preserve"> </w:t>
      </w:r>
    </w:p>
  </w:footnote>
  <w:footnote w:id="21">
    <w:p w14:paraId="1CE63A4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Ministerio de Ciencia, Tecnología e Innovación. (2022). </w:t>
      </w:r>
      <w:r>
        <w:rPr>
          <w:rFonts w:ascii="Times New Roman" w:eastAsia="Times New Roman" w:hAnsi="Times New Roman" w:cs="Times New Roman"/>
          <w:i/>
          <w:sz w:val="20"/>
          <w:szCs w:val="20"/>
        </w:rPr>
        <w:t>Novo marco legal das startups e o desenvolvimento da inovação no Brasil</w:t>
      </w:r>
      <w:r>
        <w:rPr>
          <w:rFonts w:ascii="Times New Roman" w:eastAsia="Times New Roman" w:hAnsi="Times New Roman" w:cs="Times New Roman"/>
          <w:sz w:val="20"/>
          <w:szCs w:val="20"/>
        </w:rPr>
        <w:t xml:space="preserve">. Recuperado de: </w:t>
      </w:r>
      <w:hyperlink r:id="rId13">
        <w:r>
          <w:rPr>
            <w:rFonts w:ascii="Times New Roman" w:eastAsia="Times New Roman" w:hAnsi="Times New Roman" w:cs="Times New Roman"/>
            <w:color w:val="1155CC"/>
            <w:sz w:val="20"/>
            <w:szCs w:val="20"/>
            <w:u w:val="single"/>
          </w:rPr>
          <w:t>https://repositorio.mctic.gov.br/bitstream/mctic/4796/3/2022_10_19_mcti_boletim_diario.pdf</w:t>
        </w:r>
      </w:hyperlink>
      <w:r>
        <w:rPr>
          <w:rFonts w:ascii="Times New Roman" w:eastAsia="Times New Roman" w:hAnsi="Times New Roman" w:cs="Times New Roman"/>
          <w:sz w:val="20"/>
          <w:szCs w:val="20"/>
        </w:rPr>
        <w:t xml:space="preserve"> </w:t>
      </w:r>
    </w:p>
  </w:footnote>
  <w:footnote w:id="22">
    <w:p w14:paraId="1CE63A4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Ferrarezi, T. (2023). </w:t>
      </w:r>
      <w:r>
        <w:rPr>
          <w:rFonts w:ascii="Times New Roman" w:eastAsia="Times New Roman" w:hAnsi="Times New Roman" w:cs="Times New Roman"/>
          <w:i/>
          <w:sz w:val="20"/>
          <w:szCs w:val="20"/>
        </w:rPr>
        <w:t>Sandbox regulatório: um instrumento estratégico para o desenvolvimento de tecnologias emergentes no Brasil</w:t>
      </w:r>
      <w:r>
        <w:rPr>
          <w:rFonts w:ascii="Times New Roman" w:eastAsia="Times New Roman" w:hAnsi="Times New Roman" w:cs="Times New Roman"/>
          <w:sz w:val="20"/>
          <w:szCs w:val="20"/>
        </w:rPr>
        <w:t xml:space="preserve">. Migalhas. Recuperado de: </w:t>
      </w:r>
      <w:hyperlink r:id="rId14">
        <w:r>
          <w:rPr>
            <w:rFonts w:ascii="Times New Roman" w:eastAsia="Times New Roman" w:hAnsi="Times New Roman" w:cs="Times New Roman"/>
            <w:color w:val="1155CC"/>
            <w:sz w:val="20"/>
            <w:szCs w:val="20"/>
            <w:u w:val="single"/>
          </w:rPr>
          <w:t>https://www.migalhas.com.br/depeso/386501/sandbox-regulatorio-um-instrumento-estrategico</w:t>
        </w:r>
      </w:hyperlink>
    </w:p>
  </w:footnote>
  <w:footnote w:id="23">
    <w:p w14:paraId="1CE63A4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Bloomberg en Línea. (2023,). </w:t>
      </w:r>
      <w:r>
        <w:rPr>
          <w:rFonts w:ascii="Times New Roman" w:eastAsia="Times New Roman" w:hAnsi="Times New Roman" w:cs="Times New Roman"/>
          <w:i/>
          <w:sz w:val="20"/>
          <w:szCs w:val="20"/>
        </w:rPr>
        <w:t>Brasil é o país da América Latina com o maior número de fintechs ativas. Bloomberg Línea Brasil</w:t>
      </w:r>
      <w:r>
        <w:rPr>
          <w:rFonts w:ascii="Times New Roman" w:eastAsia="Times New Roman" w:hAnsi="Times New Roman" w:cs="Times New Roman"/>
          <w:sz w:val="20"/>
          <w:szCs w:val="20"/>
        </w:rPr>
        <w:t xml:space="preserve">. Recuperado de: </w:t>
      </w:r>
      <w:hyperlink r:id="rId15">
        <w:r>
          <w:rPr>
            <w:rFonts w:ascii="Times New Roman" w:eastAsia="Times New Roman" w:hAnsi="Times New Roman" w:cs="Times New Roman"/>
            <w:color w:val="1155CC"/>
            <w:sz w:val="20"/>
            <w:szCs w:val="20"/>
            <w:u w:val="single"/>
          </w:rPr>
          <w:t>https://www.bloomberglinea.com.br/2023/04/23/brasil-e-o-pais-da-america-latina-com-o-maior-numero-de-fintechs-ativas/</w:t>
        </w:r>
      </w:hyperlink>
      <w:r>
        <w:rPr>
          <w:rFonts w:ascii="Times New Roman" w:eastAsia="Times New Roman" w:hAnsi="Times New Roman" w:cs="Times New Roman"/>
          <w:sz w:val="20"/>
          <w:szCs w:val="20"/>
        </w:rPr>
        <w:t xml:space="preserve"> </w:t>
      </w:r>
    </w:p>
  </w:footnote>
  <w:footnote w:id="24">
    <w:p w14:paraId="1CE63A4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Gobierno de México. (2024). </w:t>
      </w:r>
      <w:r>
        <w:rPr>
          <w:rFonts w:ascii="Times New Roman" w:eastAsia="Times New Roman" w:hAnsi="Times New Roman" w:cs="Times New Roman"/>
          <w:i/>
          <w:sz w:val="20"/>
          <w:szCs w:val="20"/>
        </w:rPr>
        <w:t>El sector Fintech y su regulación en México</w:t>
      </w:r>
      <w:r>
        <w:rPr>
          <w:rFonts w:ascii="Times New Roman" w:eastAsia="Times New Roman" w:hAnsi="Times New Roman" w:cs="Times New Roman"/>
          <w:sz w:val="20"/>
          <w:szCs w:val="20"/>
        </w:rPr>
        <w:t xml:space="preserve">. Recuperado de:  </w:t>
      </w:r>
      <w:hyperlink r:id="rId16">
        <w:r>
          <w:rPr>
            <w:rFonts w:ascii="Times New Roman" w:eastAsia="Times New Roman" w:hAnsi="Times New Roman" w:cs="Times New Roman"/>
            <w:color w:val="1155CC"/>
            <w:sz w:val="20"/>
            <w:szCs w:val="20"/>
            <w:u w:val="single"/>
          </w:rPr>
          <w:t>https://www.gob.mx/shcp/articulos/el-sector-fintech-y-su-regulacion-en-mexico?idiom=es</w:t>
        </w:r>
      </w:hyperlink>
      <w:r>
        <w:rPr>
          <w:rFonts w:ascii="Times New Roman" w:eastAsia="Times New Roman" w:hAnsi="Times New Roman" w:cs="Times New Roman"/>
          <w:sz w:val="20"/>
          <w:szCs w:val="20"/>
        </w:rPr>
        <w:t xml:space="preserve"> </w:t>
      </w:r>
    </w:p>
  </w:footnote>
  <w:footnote w:id="25">
    <w:p w14:paraId="1CE63A4F"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Legal Paradox. (2024). </w:t>
      </w:r>
      <w:r>
        <w:rPr>
          <w:rFonts w:ascii="Times New Roman" w:eastAsia="Times New Roman" w:hAnsi="Times New Roman" w:cs="Times New Roman"/>
          <w:i/>
          <w:sz w:val="20"/>
          <w:szCs w:val="20"/>
        </w:rPr>
        <w:t>¿Qué es la Ley Fintech? y ¿Cómo está transformando a México?</w:t>
      </w:r>
      <w:r>
        <w:rPr>
          <w:rFonts w:ascii="Times New Roman" w:eastAsia="Times New Roman" w:hAnsi="Times New Roman" w:cs="Times New Roman"/>
          <w:sz w:val="20"/>
          <w:szCs w:val="20"/>
        </w:rPr>
        <w:t xml:space="preserve"> Recuperado de: </w:t>
      </w:r>
      <w:hyperlink r:id="rId17">
        <w:r>
          <w:rPr>
            <w:rFonts w:ascii="Times New Roman" w:eastAsia="Times New Roman" w:hAnsi="Times New Roman" w:cs="Times New Roman"/>
            <w:color w:val="1155CC"/>
            <w:sz w:val="20"/>
            <w:szCs w:val="20"/>
            <w:u w:val="single"/>
          </w:rPr>
          <w:t>https://www.legalparadox.com/post/qu%C3%A9-es-la-ley-fintech-y-c%C3%B3mo-est%C3%A1-transformando-a-m%C3%A9xico</w:t>
        </w:r>
      </w:hyperlink>
      <w:r>
        <w:rPr>
          <w:rFonts w:ascii="Times New Roman" w:eastAsia="Times New Roman" w:hAnsi="Times New Roman" w:cs="Times New Roman"/>
          <w:sz w:val="20"/>
          <w:szCs w:val="20"/>
        </w:rPr>
        <w:t xml:space="preserve"> </w:t>
      </w:r>
    </w:p>
  </w:footnote>
  <w:footnote w:id="26">
    <w:p w14:paraId="1CE63A50"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Boletín Oficial del Estado (BOE). (2022). </w:t>
      </w:r>
      <w:r>
        <w:rPr>
          <w:rFonts w:ascii="Times New Roman" w:eastAsia="Times New Roman" w:hAnsi="Times New Roman" w:cs="Times New Roman"/>
          <w:i/>
          <w:sz w:val="20"/>
          <w:szCs w:val="20"/>
        </w:rPr>
        <w:t>Ley 28/2022, de 21 de diciembre, de fomento del ecosistema de las empresas emergentes</w:t>
      </w:r>
      <w:r>
        <w:rPr>
          <w:rFonts w:ascii="Times New Roman" w:eastAsia="Times New Roman" w:hAnsi="Times New Roman" w:cs="Times New Roman"/>
          <w:sz w:val="20"/>
          <w:szCs w:val="20"/>
        </w:rPr>
        <w:t xml:space="preserve">. Recuperado de </w:t>
      </w:r>
      <w:hyperlink r:id="rId18">
        <w:r>
          <w:rPr>
            <w:rFonts w:ascii="Times New Roman" w:eastAsia="Times New Roman" w:hAnsi="Times New Roman" w:cs="Times New Roman"/>
            <w:color w:val="1155CC"/>
            <w:sz w:val="20"/>
            <w:szCs w:val="20"/>
            <w:u w:val="single"/>
          </w:rPr>
          <w:t>Disposición 21739 del BOE núm. 306 de 2022</w:t>
        </w:r>
      </w:hyperlink>
      <w:r>
        <w:rPr>
          <w:rFonts w:ascii="Times New Roman" w:eastAsia="Times New Roman" w:hAnsi="Times New Roman" w:cs="Times New Roman"/>
          <w:sz w:val="20"/>
          <w:szCs w:val="20"/>
        </w:rPr>
        <w:t>​.</w:t>
      </w:r>
    </w:p>
  </w:footnote>
  <w:footnote w:id="27">
    <w:p w14:paraId="1CE63A51" w14:textId="77777777" w:rsidR="004D0443" w:rsidRDefault="00DA3067">
      <w:pPr>
        <w:rPr>
          <w:sz w:val="20"/>
          <w:szCs w:val="20"/>
        </w:rPr>
      </w:pPr>
      <w:r>
        <w:rPr>
          <w:vertAlign w:val="superscript"/>
        </w:rPr>
        <w:footnoteRef/>
      </w:r>
      <w:r>
        <w:rPr>
          <w:sz w:val="20"/>
          <w:szCs w:val="20"/>
        </w:rPr>
        <w:t xml:space="preserve"> Ibídem.</w:t>
      </w:r>
    </w:p>
  </w:footnote>
  <w:footnote w:id="28">
    <w:p w14:paraId="1CE63A52" w14:textId="77777777" w:rsidR="004D0443" w:rsidRDefault="00DA3067">
      <w:pPr>
        <w:rPr>
          <w:sz w:val="20"/>
          <w:szCs w:val="20"/>
        </w:rPr>
      </w:pPr>
      <w:r>
        <w:rPr>
          <w:vertAlign w:val="superscript"/>
        </w:rPr>
        <w:footnoteRef/>
      </w:r>
      <w:r>
        <w:rPr>
          <w:sz w:val="20"/>
          <w:szCs w:val="20"/>
        </w:rPr>
        <w:t xml:space="preserve"> Ibídem.</w:t>
      </w:r>
    </w:p>
  </w:footnote>
  <w:footnote w:id="29">
    <w:p w14:paraId="1CE63A53" w14:textId="77777777" w:rsidR="004D0443" w:rsidRDefault="00DA3067">
      <w:pPr>
        <w:rPr>
          <w:sz w:val="20"/>
          <w:szCs w:val="20"/>
        </w:rPr>
      </w:pPr>
      <w:r>
        <w:rPr>
          <w:vertAlign w:val="superscript"/>
        </w:rPr>
        <w:footnoteRef/>
      </w:r>
      <w:r>
        <w:rPr>
          <w:sz w:val="20"/>
          <w:szCs w:val="20"/>
        </w:rPr>
        <w:t xml:space="preserve"> Ibídem.</w:t>
      </w:r>
    </w:p>
  </w:footnote>
  <w:footnote w:id="30">
    <w:p w14:paraId="1CE63A5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Altos Empresarios. (2024). </w:t>
      </w:r>
      <w:r>
        <w:rPr>
          <w:rFonts w:ascii="Times New Roman" w:eastAsia="Times New Roman" w:hAnsi="Times New Roman" w:cs="Times New Roman"/>
          <w:i/>
          <w:sz w:val="20"/>
          <w:szCs w:val="20"/>
        </w:rPr>
        <w:t>El papel de las startups en la transformación económica de Colombia</w:t>
      </w:r>
      <w:r>
        <w:rPr>
          <w:rFonts w:ascii="Times New Roman" w:eastAsia="Times New Roman" w:hAnsi="Times New Roman" w:cs="Times New Roman"/>
          <w:sz w:val="20"/>
          <w:szCs w:val="20"/>
        </w:rPr>
        <w:t>. Recuperado de:</w:t>
      </w:r>
      <w:hyperlink r:id="rId19">
        <w:r>
          <w:rPr>
            <w:rFonts w:ascii="Times New Roman" w:eastAsia="Times New Roman" w:hAnsi="Times New Roman" w:cs="Times New Roman"/>
            <w:color w:val="1155CC"/>
            <w:sz w:val="20"/>
            <w:szCs w:val="20"/>
            <w:u w:val="single"/>
          </w:rPr>
          <w:t>https://www.altosempresarios.com/noticias/papel-de-las-startups-en-la-economia-de-colombia</w:t>
        </w:r>
      </w:hyperlink>
      <w:r>
        <w:rPr>
          <w:rFonts w:ascii="Times New Roman" w:eastAsia="Times New Roman" w:hAnsi="Times New Roman" w:cs="Times New Roman"/>
          <w:sz w:val="20"/>
          <w:szCs w:val="20"/>
        </w:rPr>
        <w:t xml:space="preserve"> </w:t>
      </w:r>
    </w:p>
  </w:footnote>
  <w:footnote w:id="31">
    <w:p w14:paraId="1CE63A5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2">
    <w:p w14:paraId="1CE63A5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Alfaro, Y. (2022). </w:t>
      </w:r>
      <w:r>
        <w:rPr>
          <w:rFonts w:ascii="Times New Roman" w:eastAsia="Times New Roman" w:hAnsi="Times New Roman" w:cs="Times New Roman"/>
          <w:i/>
          <w:sz w:val="20"/>
          <w:szCs w:val="20"/>
        </w:rPr>
        <w:t>El futuro de las startups en Colombia con la llegada de Petro al poder</w:t>
      </w:r>
      <w:r>
        <w:rPr>
          <w:rFonts w:ascii="Times New Roman" w:eastAsia="Times New Roman" w:hAnsi="Times New Roman" w:cs="Times New Roman"/>
          <w:sz w:val="20"/>
          <w:szCs w:val="20"/>
        </w:rPr>
        <w:t xml:space="preserve">. Recuperado de: </w:t>
      </w:r>
      <w:hyperlink r:id="rId20">
        <w:r>
          <w:rPr>
            <w:rFonts w:ascii="Times New Roman" w:eastAsia="Times New Roman" w:hAnsi="Times New Roman" w:cs="Times New Roman"/>
            <w:color w:val="1155CC"/>
            <w:sz w:val="20"/>
            <w:szCs w:val="20"/>
            <w:u w:val="single"/>
          </w:rPr>
          <w:t>https://www.bloomberglinea.com/2022/08/08/cual-sera-el-futuro-de-las-startups-en-colombia-con-la-llegada-de-petro-al-poder/</w:t>
        </w:r>
      </w:hyperlink>
      <w:r>
        <w:rPr>
          <w:rFonts w:ascii="Times New Roman" w:eastAsia="Times New Roman" w:hAnsi="Times New Roman" w:cs="Times New Roman"/>
          <w:sz w:val="20"/>
          <w:szCs w:val="20"/>
        </w:rPr>
        <w:t xml:space="preserve"> </w:t>
      </w:r>
    </w:p>
  </w:footnote>
  <w:footnote w:id="33">
    <w:p w14:paraId="1CE63A5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Cámara de Comercio de Bogotá. (2024). </w:t>
      </w:r>
      <w:r>
        <w:rPr>
          <w:rFonts w:ascii="Times New Roman" w:eastAsia="Times New Roman" w:hAnsi="Times New Roman" w:cs="Times New Roman"/>
          <w:i/>
          <w:sz w:val="20"/>
          <w:szCs w:val="20"/>
        </w:rPr>
        <w:t>Colombia Tech Report 2023-2024 - 3ra Edición</w:t>
      </w:r>
      <w:r>
        <w:rPr>
          <w:rFonts w:ascii="Times New Roman" w:eastAsia="Times New Roman" w:hAnsi="Times New Roman" w:cs="Times New Roman"/>
          <w:sz w:val="20"/>
          <w:szCs w:val="20"/>
        </w:rPr>
        <w:t xml:space="preserve">. Bogotá, Colombia. Recuperado de: </w:t>
      </w:r>
      <w:hyperlink r:id="rId21">
        <w:r>
          <w:rPr>
            <w:rFonts w:ascii="Times New Roman" w:eastAsia="Times New Roman" w:hAnsi="Times New Roman" w:cs="Times New Roman"/>
            <w:color w:val="1155CC"/>
            <w:sz w:val="20"/>
            <w:szCs w:val="20"/>
            <w:u w:val="single"/>
          </w:rPr>
          <w:t>Colombia Tech Report 2023-2024 - 3ra Edición (ccb.org.co)</w:t>
        </w:r>
      </w:hyperlink>
    </w:p>
  </w:footnote>
  <w:footnote w:id="34">
    <w:p w14:paraId="1CE63A58"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5">
    <w:p w14:paraId="1CE63A59"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6">
    <w:p w14:paraId="1CE63A5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7">
    <w:p w14:paraId="1CE63A5B"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8">
    <w:p w14:paraId="1CE63A5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Cámara de Comercio de Bogotá. (2024). Colombia Tech Report 2023-2024 - 3ra Edición. Bogotá, Colombia. </w:t>
      </w:r>
    </w:p>
  </w:footnote>
  <w:footnote w:id="39">
    <w:p w14:paraId="1CE63A5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Secretaría Distrital de Desarrollo Económico. (2023). </w:t>
      </w:r>
      <w:r>
        <w:rPr>
          <w:rFonts w:ascii="Times New Roman" w:eastAsia="Times New Roman" w:hAnsi="Times New Roman" w:cs="Times New Roman"/>
          <w:i/>
          <w:sz w:val="20"/>
          <w:szCs w:val="20"/>
        </w:rPr>
        <w:t>Fortalecimiento de la transformación digital en Bogotá</w:t>
      </w:r>
      <w:r>
        <w:rPr>
          <w:rFonts w:ascii="Times New Roman" w:eastAsia="Times New Roman" w:hAnsi="Times New Roman" w:cs="Times New Roman"/>
          <w:sz w:val="20"/>
          <w:szCs w:val="20"/>
        </w:rPr>
        <w:t xml:space="preserve">. Alcaldía de Bogotá. Recuperado de: </w:t>
      </w:r>
      <w:hyperlink r:id="rId22">
        <w:r>
          <w:rPr>
            <w:rFonts w:ascii="Times New Roman" w:eastAsia="Times New Roman" w:hAnsi="Times New Roman" w:cs="Times New Roman"/>
            <w:color w:val="1155CC"/>
            <w:sz w:val="20"/>
            <w:szCs w:val="20"/>
            <w:u w:val="single"/>
          </w:rPr>
          <w:t>https://bogota.gov.co/mi-ciudad/desarrollo-economico/programa-entorno-fortalecio-transformacion-digital-empresas-bogota</w:t>
        </w:r>
      </w:hyperlink>
      <w:r>
        <w:rPr>
          <w:rFonts w:ascii="Times New Roman" w:eastAsia="Times New Roman" w:hAnsi="Times New Roman" w:cs="Times New Roman"/>
          <w:sz w:val="20"/>
          <w:szCs w:val="20"/>
        </w:rPr>
        <w:t xml:space="preserve"> </w:t>
      </w:r>
    </w:p>
  </w:footnote>
  <w:footnote w:id="40">
    <w:p w14:paraId="1CE63A5E"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Latam Republic. (2023). </w:t>
      </w:r>
      <w:r>
        <w:rPr>
          <w:rFonts w:ascii="Times New Roman" w:eastAsia="Times New Roman" w:hAnsi="Times New Roman" w:cs="Times New Roman"/>
          <w:i/>
          <w:sz w:val="20"/>
          <w:szCs w:val="20"/>
        </w:rPr>
        <w:t>The top 3 countries in Latin America for startup growth</w:t>
      </w:r>
      <w:r>
        <w:rPr>
          <w:rFonts w:ascii="Times New Roman" w:eastAsia="Times New Roman" w:hAnsi="Times New Roman" w:cs="Times New Roman"/>
          <w:sz w:val="20"/>
          <w:szCs w:val="20"/>
        </w:rPr>
        <w:t>.</w:t>
      </w:r>
      <w:hyperlink r:id="rId23">
        <w:r>
          <w:rPr>
            <w:rFonts w:ascii="Times New Roman" w:eastAsia="Times New Roman" w:hAnsi="Times New Roman" w:cs="Times New Roman"/>
            <w:sz w:val="20"/>
            <w:szCs w:val="20"/>
          </w:rPr>
          <w:t xml:space="preserve"> </w:t>
        </w:r>
      </w:hyperlink>
      <w:hyperlink r:id="rId24">
        <w:r>
          <w:rPr>
            <w:rFonts w:ascii="Times New Roman" w:eastAsia="Times New Roman" w:hAnsi="Times New Roman" w:cs="Times New Roman"/>
            <w:color w:val="1155CC"/>
            <w:sz w:val="20"/>
            <w:szCs w:val="20"/>
            <w:u w:val="single"/>
          </w:rPr>
          <w:t>https://www.latamrepublic.com/the-top-3-countries-in-latin-america-for-startup-growth</w:t>
        </w:r>
      </w:hyperlink>
    </w:p>
  </w:footnote>
  <w:footnote w:id="41">
    <w:p w14:paraId="1CE63A5F" w14:textId="77777777" w:rsidR="004D0443" w:rsidRDefault="00DA3067">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Semana. (2024). </w:t>
      </w:r>
      <w:r>
        <w:rPr>
          <w:rFonts w:ascii="Times New Roman" w:eastAsia="Times New Roman" w:hAnsi="Times New Roman" w:cs="Times New Roman"/>
          <w:i/>
          <w:sz w:val="20"/>
          <w:szCs w:val="20"/>
        </w:rPr>
        <w:t>Bogotá fue premiada por sus procesos de desarrollo tecnológico en pro del servicio al ciudadano</w:t>
      </w:r>
      <w:r>
        <w:rPr>
          <w:rFonts w:ascii="Times New Roman" w:eastAsia="Times New Roman" w:hAnsi="Times New Roman" w:cs="Times New Roman"/>
          <w:sz w:val="20"/>
          <w:szCs w:val="20"/>
        </w:rPr>
        <w:t xml:space="preserve">. Revista Semana. Recuperado de: </w:t>
      </w:r>
      <w:hyperlink r:id="rId25">
        <w:r>
          <w:rPr>
            <w:rFonts w:ascii="Times New Roman" w:eastAsia="Times New Roman" w:hAnsi="Times New Roman" w:cs="Times New Roman"/>
            <w:color w:val="1155CC"/>
            <w:sz w:val="20"/>
            <w:szCs w:val="20"/>
            <w:u w:val="single"/>
          </w:rPr>
          <w:t>https://www.semana.com/nacion/bogota/articulo/bogota-fue-premiada-por-sus-procesos-de-desarrollo-tecnologico-en-pro-del-servicio-al-ciudadano/202447/</w:t>
        </w:r>
      </w:hyperlink>
      <w:r>
        <w:rPr>
          <w:rFonts w:ascii="Times New Roman" w:eastAsia="Times New Roman" w:hAnsi="Times New Roman" w:cs="Times New Roman"/>
          <w:sz w:val="20"/>
          <w:szCs w:val="20"/>
        </w:rPr>
        <w:t xml:space="preserve"> </w:t>
      </w:r>
    </w:p>
  </w:footnote>
  <w:footnote w:id="42">
    <w:p w14:paraId="1CE63A6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Top Open Startups. (2023).</w:t>
      </w:r>
      <w:r>
        <w:rPr>
          <w:rFonts w:ascii="Times New Roman" w:eastAsia="Times New Roman" w:hAnsi="Times New Roman" w:cs="Times New Roman"/>
          <w:i/>
          <w:sz w:val="20"/>
          <w:szCs w:val="20"/>
        </w:rPr>
        <w:t xml:space="preserve"> Ranking 100 Open Startups. 100 Open Startups</w:t>
      </w:r>
      <w:r>
        <w:rPr>
          <w:rFonts w:ascii="Times New Roman" w:eastAsia="Times New Roman" w:hAnsi="Times New Roman" w:cs="Times New Roman"/>
          <w:sz w:val="20"/>
          <w:szCs w:val="20"/>
        </w:rPr>
        <w:t xml:space="preserve">; 100 Open Startups. Recuperado de: </w:t>
      </w:r>
      <w:hyperlink r:id="rId26">
        <w:r>
          <w:rPr>
            <w:rFonts w:ascii="Times New Roman" w:eastAsia="Times New Roman" w:hAnsi="Times New Roman" w:cs="Times New Roman"/>
            <w:color w:val="1155CC"/>
            <w:sz w:val="20"/>
            <w:szCs w:val="20"/>
            <w:u w:val="single"/>
          </w:rPr>
          <w:t>https://www.openstartups.net/site/ranking-colombia/rankings-startups.html</w:t>
        </w:r>
      </w:hyperlink>
      <w:r>
        <w:rPr>
          <w:rFonts w:ascii="Times New Roman" w:eastAsia="Times New Roman" w:hAnsi="Times New Roman" w:cs="Times New Roman"/>
          <w:sz w:val="20"/>
          <w:szCs w:val="20"/>
        </w:rPr>
        <w:t xml:space="preserve"> </w:t>
      </w:r>
    </w:p>
  </w:footnote>
  <w:footnote w:id="43">
    <w:p w14:paraId="1CE63A61"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44">
    <w:p w14:paraId="1CE63A62"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5">
    <w:p w14:paraId="1CE63A6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Invest in Bogotá (2024). </w:t>
      </w:r>
      <w:r>
        <w:rPr>
          <w:rFonts w:ascii="Times New Roman" w:eastAsia="Times New Roman" w:hAnsi="Times New Roman" w:cs="Times New Roman"/>
          <w:i/>
          <w:sz w:val="20"/>
          <w:szCs w:val="20"/>
        </w:rPr>
        <w:t>¡ScaleupBog, la plataforma del ecosistema  emprendedor de Bogotá Región, toma un nuevo impulso!</w:t>
      </w:r>
      <w:r>
        <w:rPr>
          <w:rFonts w:ascii="Times New Roman" w:eastAsia="Times New Roman" w:hAnsi="Times New Roman" w:cs="Times New Roman"/>
          <w:sz w:val="20"/>
          <w:szCs w:val="20"/>
        </w:rPr>
        <w:t xml:space="preserve"> Bogotá, Colombia. Recuperado de:</w:t>
      </w:r>
      <w:hyperlink r:id="rId27">
        <w:r>
          <w:rPr>
            <w:rFonts w:ascii="Times New Roman" w:eastAsia="Times New Roman" w:hAnsi="Times New Roman" w:cs="Times New Roman"/>
            <w:color w:val="1155CC"/>
            <w:sz w:val="20"/>
            <w:szCs w:val="20"/>
            <w:u w:val="single"/>
          </w:rPr>
          <w:t>https://es.investinbogota.org/noticias/scaleupbog-la-plataforma-del-ecosistema-emprendedor-de-bogota-region-toma-un-nuevo-impulso/</w:t>
        </w:r>
      </w:hyperlink>
      <w:r>
        <w:rPr>
          <w:rFonts w:ascii="Times New Roman" w:eastAsia="Times New Roman" w:hAnsi="Times New Roman" w:cs="Times New Roman"/>
          <w:sz w:val="20"/>
          <w:szCs w:val="20"/>
        </w:rPr>
        <w:t xml:space="preserve"> </w:t>
      </w:r>
    </w:p>
  </w:footnote>
  <w:footnote w:id="46">
    <w:p w14:paraId="1CE63A6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7">
    <w:p w14:paraId="1CE63A65"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8">
    <w:p w14:paraId="1CE63A6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SacaleUpBog. (2024). </w:t>
      </w:r>
      <w:r>
        <w:rPr>
          <w:rFonts w:ascii="Times New Roman" w:eastAsia="Times New Roman" w:hAnsi="Times New Roman" w:cs="Times New Roman"/>
          <w:i/>
          <w:sz w:val="20"/>
          <w:szCs w:val="20"/>
        </w:rPr>
        <w:t>Ecosistema - Scaleupbog</w:t>
      </w:r>
      <w:r>
        <w:rPr>
          <w:rFonts w:ascii="Times New Roman" w:eastAsia="Times New Roman" w:hAnsi="Times New Roman" w:cs="Times New Roman"/>
          <w:sz w:val="20"/>
          <w:szCs w:val="20"/>
        </w:rPr>
        <w:t xml:space="preserve">.  Recuperado de: </w:t>
      </w:r>
      <w:hyperlink r:id="rId28">
        <w:r>
          <w:rPr>
            <w:rFonts w:ascii="Times New Roman" w:eastAsia="Times New Roman" w:hAnsi="Times New Roman" w:cs="Times New Roman"/>
            <w:color w:val="1155CC"/>
            <w:sz w:val="20"/>
            <w:szCs w:val="20"/>
            <w:u w:val="single"/>
          </w:rPr>
          <w:t>https://scaleupbog.co/ecosistema/</w:t>
        </w:r>
      </w:hyperlink>
      <w:r>
        <w:rPr>
          <w:rFonts w:ascii="Times New Roman" w:eastAsia="Times New Roman" w:hAnsi="Times New Roman" w:cs="Times New Roman"/>
          <w:sz w:val="20"/>
          <w:szCs w:val="20"/>
        </w:rPr>
        <w:t xml:space="preserve"> </w:t>
      </w:r>
    </w:p>
  </w:footnote>
  <w:footnote w:id="49">
    <w:p w14:paraId="1CE63A67"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0">
    <w:p w14:paraId="1CE63A6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Universidad de los Andes. (2023). </w:t>
      </w:r>
      <w:r>
        <w:rPr>
          <w:rFonts w:ascii="Times New Roman" w:eastAsia="Times New Roman" w:hAnsi="Times New Roman" w:cs="Times New Roman"/>
          <w:i/>
          <w:sz w:val="20"/>
          <w:szCs w:val="20"/>
        </w:rPr>
        <w:t>Análisis de datos, clave en el crecimiento de las startups</w:t>
      </w:r>
      <w:r>
        <w:rPr>
          <w:rFonts w:ascii="Times New Roman" w:eastAsia="Times New Roman" w:hAnsi="Times New Roman" w:cs="Times New Roman"/>
          <w:sz w:val="20"/>
          <w:szCs w:val="20"/>
        </w:rPr>
        <w:t xml:space="preserve">. Recuperado de: </w:t>
      </w:r>
      <w:hyperlink r:id="rId29">
        <w:r>
          <w:rPr>
            <w:rFonts w:ascii="Times New Roman" w:eastAsia="Times New Roman" w:hAnsi="Times New Roman" w:cs="Times New Roman"/>
            <w:color w:val="1155CC"/>
            <w:sz w:val="20"/>
            <w:szCs w:val="20"/>
            <w:u w:val="single"/>
          </w:rPr>
          <w:t>https://uniandes.edu.co/es/noticias/ingenieria/analisis-de-datos-clave-en-el-crecimiento-de-las-startups</w:t>
        </w:r>
      </w:hyperlink>
      <w:r>
        <w:rPr>
          <w:rFonts w:ascii="Times New Roman" w:eastAsia="Times New Roman" w:hAnsi="Times New Roman" w:cs="Times New Roman"/>
          <w:sz w:val="20"/>
          <w:szCs w:val="20"/>
        </w:rPr>
        <w:t>.</w:t>
      </w:r>
    </w:p>
  </w:footnote>
  <w:footnote w:id="51">
    <w:p w14:paraId="1CE63A6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Cohen, V. (2024). </w:t>
      </w:r>
      <w:r>
        <w:rPr>
          <w:rFonts w:ascii="Times New Roman" w:eastAsia="Times New Roman" w:hAnsi="Times New Roman" w:cs="Times New Roman"/>
          <w:i/>
          <w:sz w:val="20"/>
          <w:szCs w:val="20"/>
        </w:rPr>
        <w:t>Meet Rappi, the Leading Colombian Delivery App</w:t>
      </w:r>
      <w:r>
        <w:rPr>
          <w:rFonts w:ascii="Times New Roman" w:eastAsia="Times New Roman" w:hAnsi="Times New Roman" w:cs="Times New Roman"/>
          <w:sz w:val="20"/>
          <w:szCs w:val="20"/>
        </w:rPr>
        <w:t xml:space="preserve">. ColombiaOne. Recuperado de: </w:t>
      </w:r>
      <w:hyperlink r:id="rId30">
        <w:r>
          <w:rPr>
            <w:rFonts w:ascii="Times New Roman" w:eastAsia="Times New Roman" w:hAnsi="Times New Roman" w:cs="Times New Roman"/>
            <w:color w:val="1155CC"/>
            <w:sz w:val="20"/>
            <w:szCs w:val="20"/>
            <w:u w:val="single"/>
          </w:rPr>
          <w:t>https://colombiaone.com/2024/04/21/rappi-colombian-delivery-app/</w:t>
        </w:r>
      </w:hyperlink>
      <w:r>
        <w:rPr>
          <w:rFonts w:ascii="Times New Roman" w:eastAsia="Times New Roman" w:hAnsi="Times New Roman" w:cs="Times New Roman"/>
          <w:sz w:val="20"/>
          <w:szCs w:val="20"/>
        </w:rPr>
        <w:t xml:space="preserve"> </w:t>
      </w:r>
    </w:p>
  </w:footnote>
  <w:footnote w:id="52">
    <w:p w14:paraId="1CE63A6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Fernández, I. (2022). </w:t>
      </w:r>
      <w:r>
        <w:rPr>
          <w:rFonts w:ascii="Times New Roman" w:eastAsia="Times New Roman" w:hAnsi="Times New Roman" w:cs="Times New Roman"/>
          <w:i/>
          <w:sz w:val="20"/>
          <w:szCs w:val="20"/>
        </w:rPr>
        <w:t>Habi: el segundo unicornio de Colombia después de Rappi</w:t>
      </w:r>
      <w:r>
        <w:rPr>
          <w:rFonts w:ascii="Times New Roman" w:eastAsia="Times New Roman" w:hAnsi="Times New Roman" w:cs="Times New Roman"/>
          <w:sz w:val="20"/>
          <w:szCs w:val="20"/>
        </w:rPr>
        <w:t xml:space="preserve">. Asilo Digital. </w:t>
      </w:r>
      <w:hyperlink r:id="rId31">
        <w:r>
          <w:rPr>
            <w:rFonts w:ascii="Times New Roman" w:eastAsia="Times New Roman" w:hAnsi="Times New Roman" w:cs="Times New Roman"/>
            <w:color w:val="1155CC"/>
            <w:sz w:val="20"/>
            <w:szCs w:val="20"/>
            <w:u w:val="single"/>
          </w:rPr>
          <w:t>Habi: el segundo unicornio de Colombia después de Rappi (asilodigital.com)</w:t>
        </w:r>
      </w:hyperlink>
    </w:p>
  </w:footnote>
  <w:footnote w:id="53">
    <w:p w14:paraId="1CE63A6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IDB Invest. (2021, 1 de diciembre). </w:t>
      </w:r>
      <w:r>
        <w:rPr>
          <w:rFonts w:ascii="Times New Roman" w:eastAsia="Times New Roman" w:hAnsi="Times New Roman" w:cs="Times New Roman"/>
          <w:i/>
          <w:sz w:val="20"/>
          <w:szCs w:val="20"/>
        </w:rPr>
        <w:t>IDB Invest promotes innovation through Merqueo investment</w:t>
      </w:r>
      <w:r>
        <w:rPr>
          <w:rFonts w:ascii="Times New Roman" w:eastAsia="Times New Roman" w:hAnsi="Times New Roman" w:cs="Times New Roman"/>
          <w:sz w:val="20"/>
          <w:szCs w:val="20"/>
        </w:rPr>
        <w:t>. IDB Invest.</w:t>
      </w:r>
      <w:hyperlink r:id="rId32">
        <w:r>
          <w:rPr>
            <w:rFonts w:ascii="Times New Roman" w:eastAsia="Times New Roman" w:hAnsi="Times New Roman" w:cs="Times New Roman"/>
            <w:sz w:val="20"/>
            <w:szCs w:val="20"/>
          </w:rPr>
          <w:t xml:space="preserve"> </w:t>
        </w:r>
      </w:hyperlink>
      <w:hyperlink r:id="rId33">
        <w:r>
          <w:rPr>
            <w:rFonts w:ascii="Times New Roman" w:eastAsia="Times New Roman" w:hAnsi="Times New Roman" w:cs="Times New Roman"/>
            <w:color w:val="1155CC"/>
            <w:sz w:val="20"/>
            <w:szCs w:val="20"/>
            <w:u w:val="single"/>
          </w:rPr>
          <w:t>https://www.idbinvest.org/en/news-media/idb-invest-promotes-innovation-through-merqueo-investment</w:t>
        </w:r>
      </w:hyperlink>
    </w:p>
  </w:footnote>
  <w:footnote w:id="54">
    <w:p w14:paraId="1CE63A6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Tincello, K. (2022). </w:t>
      </w:r>
      <w:r>
        <w:rPr>
          <w:rFonts w:ascii="Times New Roman" w:eastAsia="Times New Roman" w:hAnsi="Times New Roman" w:cs="Times New Roman"/>
          <w:i/>
          <w:sz w:val="20"/>
          <w:szCs w:val="20"/>
        </w:rPr>
        <w:t>Ubits edtech raises $25M Series B for launch into Spain</w:t>
      </w:r>
      <w:r>
        <w:rPr>
          <w:rFonts w:ascii="Times New Roman" w:eastAsia="Times New Roman" w:hAnsi="Times New Roman" w:cs="Times New Roman"/>
          <w:sz w:val="20"/>
          <w:szCs w:val="20"/>
        </w:rPr>
        <w:t>. LatamList.</w:t>
      </w:r>
      <w:hyperlink r:id="rId34">
        <w:r>
          <w:rPr>
            <w:rFonts w:ascii="Times New Roman" w:eastAsia="Times New Roman" w:hAnsi="Times New Roman" w:cs="Times New Roman"/>
            <w:sz w:val="20"/>
            <w:szCs w:val="20"/>
          </w:rPr>
          <w:t xml:space="preserve"> </w:t>
        </w:r>
      </w:hyperlink>
      <w:hyperlink r:id="rId35">
        <w:r>
          <w:rPr>
            <w:rFonts w:ascii="Times New Roman" w:eastAsia="Times New Roman" w:hAnsi="Times New Roman" w:cs="Times New Roman"/>
            <w:color w:val="1155CC"/>
            <w:sz w:val="20"/>
            <w:szCs w:val="20"/>
            <w:u w:val="single"/>
          </w:rPr>
          <w:t>https://latamlist.com/ubits-edtech-raises-25m-series-b-for-launch-into-spain/</w:t>
        </w:r>
      </w:hyperlink>
    </w:p>
  </w:footnote>
  <w:footnote w:id="55">
    <w:p w14:paraId="1CE63A6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Caparroso, J. (2023). </w:t>
      </w:r>
      <w:r>
        <w:rPr>
          <w:rFonts w:ascii="Times New Roman" w:eastAsia="Times New Roman" w:hAnsi="Times New Roman" w:cs="Times New Roman"/>
          <w:i/>
          <w:sz w:val="20"/>
          <w:szCs w:val="20"/>
        </w:rPr>
        <w:t>Las 100 mejores startups de Colombia 2023</w:t>
      </w:r>
      <w:r>
        <w:rPr>
          <w:rFonts w:ascii="Times New Roman" w:eastAsia="Times New Roman" w:hAnsi="Times New Roman" w:cs="Times New Roman"/>
          <w:sz w:val="20"/>
          <w:szCs w:val="20"/>
        </w:rPr>
        <w:t>. Forbes Colombia. Recuperado de:</w:t>
      </w:r>
      <w:hyperlink r:id="rId36">
        <w:r>
          <w:rPr>
            <w:rFonts w:ascii="Times New Roman" w:eastAsia="Times New Roman" w:hAnsi="Times New Roman" w:cs="Times New Roman"/>
            <w:sz w:val="20"/>
            <w:szCs w:val="20"/>
          </w:rPr>
          <w:t xml:space="preserve"> </w:t>
        </w:r>
      </w:hyperlink>
      <w:hyperlink r:id="rId37">
        <w:r>
          <w:rPr>
            <w:rFonts w:ascii="Times New Roman" w:eastAsia="Times New Roman" w:hAnsi="Times New Roman" w:cs="Times New Roman"/>
            <w:color w:val="1155CC"/>
            <w:sz w:val="20"/>
            <w:szCs w:val="20"/>
            <w:u w:val="single"/>
          </w:rPr>
          <w:t>https://forbes.co/2023/11/10/emprendedores/las-100-mejores-startups-de-colombia-2023</w:t>
        </w:r>
      </w:hyperlink>
    </w:p>
  </w:footnote>
  <w:footnote w:id="56">
    <w:p w14:paraId="1CE63A6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Contxto. (2024). </w:t>
      </w:r>
      <w:r>
        <w:rPr>
          <w:rFonts w:ascii="Times New Roman" w:eastAsia="Times New Roman" w:hAnsi="Times New Roman" w:cs="Times New Roman"/>
          <w:i/>
          <w:sz w:val="20"/>
          <w:szCs w:val="20"/>
        </w:rPr>
        <w:t>Emerging Startups in Colombia: Kravata, SEOS, Castia, and Golazzos</w:t>
      </w:r>
      <w:r>
        <w:rPr>
          <w:rFonts w:ascii="Times New Roman" w:eastAsia="Times New Roman" w:hAnsi="Times New Roman" w:cs="Times New Roman"/>
          <w:sz w:val="20"/>
          <w:szCs w:val="20"/>
        </w:rPr>
        <w:t xml:space="preserve">. Recuperado de: </w:t>
      </w:r>
      <w:hyperlink r:id="rId38">
        <w:r>
          <w:rPr>
            <w:rFonts w:ascii="Times New Roman" w:eastAsia="Times New Roman" w:hAnsi="Times New Roman" w:cs="Times New Roman"/>
            <w:color w:val="1155CC"/>
            <w:sz w:val="20"/>
            <w:szCs w:val="20"/>
            <w:u w:val="single"/>
          </w:rPr>
          <w:t>https://contxto.com/en/news/colombian-startup-kravata-raises-3-6-million-for-latin-american-expansion/</w:t>
        </w:r>
      </w:hyperlink>
      <w:r>
        <w:rPr>
          <w:rFonts w:ascii="Times New Roman" w:eastAsia="Times New Roman" w:hAnsi="Times New Roman" w:cs="Times New Roman"/>
          <w:sz w:val="20"/>
          <w:szCs w:val="20"/>
        </w:rPr>
        <w:t xml:space="preserve"> </w:t>
      </w:r>
    </w:p>
  </w:footnote>
  <w:footnote w:id="57">
    <w:p w14:paraId="1CE63A6F"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8">
    <w:p w14:paraId="1CE63A7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Métricas. (2023). </w:t>
      </w:r>
      <w:r>
        <w:rPr>
          <w:rFonts w:ascii="Times New Roman" w:eastAsia="Times New Roman" w:hAnsi="Times New Roman" w:cs="Times New Roman"/>
          <w:i/>
          <w:sz w:val="20"/>
          <w:szCs w:val="20"/>
        </w:rPr>
        <w:t xml:space="preserve">La importancia de las empresas Fintech en América Latina. </w:t>
      </w:r>
      <w:r>
        <w:rPr>
          <w:rFonts w:ascii="Times New Roman" w:eastAsia="Times New Roman" w:hAnsi="Times New Roman" w:cs="Times New Roman"/>
          <w:sz w:val="20"/>
          <w:szCs w:val="20"/>
        </w:rPr>
        <w:t xml:space="preserve">Metricas.mx. Recuperado de: </w:t>
      </w:r>
      <w:hyperlink r:id="rId39">
        <w:r>
          <w:rPr>
            <w:rFonts w:ascii="Times New Roman" w:eastAsia="Times New Roman" w:hAnsi="Times New Roman" w:cs="Times New Roman"/>
            <w:color w:val="1155CC"/>
            <w:sz w:val="20"/>
            <w:szCs w:val="20"/>
            <w:u w:val="single"/>
          </w:rPr>
          <w:t>https://metricas.mx/blog/empresas-fintech-en-america-latina</w:t>
        </w:r>
      </w:hyperlink>
      <w:r>
        <w:rPr>
          <w:rFonts w:ascii="Times New Roman" w:eastAsia="Times New Roman" w:hAnsi="Times New Roman" w:cs="Times New Roman"/>
          <w:sz w:val="20"/>
          <w:szCs w:val="20"/>
        </w:rPr>
        <w:t xml:space="preserve"> </w:t>
      </w:r>
    </w:p>
  </w:footnote>
  <w:footnote w:id="59">
    <w:p w14:paraId="1CE63A7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Colombia Fintech. (2022). </w:t>
      </w:r>
      <w:r>
        <w:rPr>
          <w:rFonts w:ascii="Times New Roman" w:eastAsia="Times New Roman" w:hAnsi="Times New Roman" w:cs="Times New Roman"/>
          <w:i/>
          <w:sz w:val="20"/>
          <w:szCs w:val="20"/>
        </w:rPr>
        <w:t>Fintech: presente y futuro del mercado financiero</w:t>
      </w:r>
      <w:r>
        <w:rPr>
          <w:rFonts w:ascii="Times New Roman" w:eastAsia="Times New Roman" w:hAnsi="Times New Roman" w:cs="Times New Roman"/>
          <w:sz w:val="20"/>
          <w:szCs w:val="20"/>
        </w:rPr>
        <w:t xml:space="preserve"> Recuperado de:</w:t>
      </w:r>
      <w:hyperlink r:id="rId40">
        <w:r>
          <w:rPr>
            <w:rFonts w:ascii="Times New Roman" w:eastAsia="Times New Roman" w:hAnsi="Times New Roman" w:cs="Times New Roman"/>
            <w:color w:val="1155CC"/>
            <w:sz w:val="20"/>
            <w:szCs w:val="20"/>
            <w:u w:val="single"/>
          </w:rPr>
          <w:t>https://www.colombiafintech.co/lineaDeTiempo/articulo/fintech-presente-y-futuro-del-mercado-financiero</w:t>
        </w:r>
      </w:hyperlink>
      <w:r>
        <w:rPr>
          <w:rFonts w:ascii="Times New Roman" w:eastAsia="Times New Roman" w:hAnsi="Times New Roman" w:cs="Times New Roman"/>
          <w:sz w:val="20"/>
          <w:szCs w:val="20"/>
        </w:rPr>
        <w:t xml:space="preserve"> </w:t>
      </w:r>
    </w:p>
  </w:footnote>
  <w:footnote w:id="60">
    <w:p w14:paraId="1CE63A72"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Deloitte Colombia. (2023). </w:t>
      </w:r>
      <w:r>
        <w:rPr>
          <w:rFonts w:ascii="Times New Roman" w:eastAsia="Times New Roman" w:hAnsi="Times New Roman" w:cs="Times New Roman"/>
          <w:i/>
          <w:sz w:val="20"/>
          <w:szCs w:val="20"/>
        </w:rPr>
        <w:t>La Industria Fintech en América Latina</w:t>
      </w:r>
      <w:r>
        <w:rPr>
          <w:rFonts w:ascii="Times New Roman" w:eastAsia="Times New Roman" w:hAnsi="Times New Roman" w:cs="Times New Roman"/>
          <w:sz w:val="20"/>
          <w:szCs w:val="20"/>
        </w:rPr>
        <w:t xml:space="preserve">. Recuperado de: </w:t>
      </w:r>
      <w:hyperlink r:id="rId41">
        <w:r>
          <w:rPr>
            <w:rFonts w:ascii="Times New Roman" w:eastAsia="Times New Roman" w:hAnsi="Times New Roman" w:cs="Times New Roman"/>
            <w:color w:val="1155CC"/>
            <w:sz w:val="20"/>
            <w:szCs w:val="20"/>
            <w:u w:val="single"/>
          </w:rPr>
          <w:t>https://www2.deloitte.com/co/es/pages/finance/articles/la_industria_fintechenamericalatina.html</w:t>
        </w:r>
      </w:hyperlink>
      <w:r>
        <w:rPr>
          <w:rFonts w:ascii="Times New Roman" w:eastAsia="Times New Roman" w:hAnsi="Times New Roman" w:cs="Times New Roman"/>
          <w:sz w:val="20"/>
          <w:szCs w:val="20"/>
        </w:rPr>
        <w:t xml:space="preserve"> </w:t>
      </w:r>
    </w:p>
  </w:footnote>
  <w:footnote w:id="61">
    <w:p w14:paraId="1CE63A7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Aizenman, R. (2023). </w:t>
      </w:r>
      <w:r>
        <w:rPr>
          <w:rFonts w:ascii="Times New Roman" w:eastAsia="Times New Roman" w:hAnsi="Times New Roman" w:cs="Times New Roman"/>
          <w:i/>
          <w:sz w:val="20"/>
          <w:szCs w:val="20"/>
        </w:rPr>
        <w:t>El papel transformador de las fintech en la inclusión financiera</w:t>
      </w:r>
      <w:r>
        <w:rPr>
          <w:rFonts w:ascii="Times New Roman" w:eastAsia="Times New Roman" w:hAnsi="Times New Roman" w:cs="Times New Roman"/>
          <w:sz w:val="20"/>
          <w:szCs w:val="20"/>
        </w:rPr>
        <w:t xml:space="preserve">. Forbes México. Recuperado de: </w:t>
      </w:r>
      <w:hyperlink r:id="rId42" w:anchor=":~:text=La%20convergencia%20de%20la%20inclusi%C3%B3n%20financiera%20y%20la,personas%20m%C3%A1s%20marginadas%20una%20entrada%20al%20sistema%20financiero">
        <w:r>
          <w:rPr>
            <w:rFonts w:ascii="Times New Roman" w:eastAsia="Times New Roman" w:hAnsi="Times New Roman" w:cs="Times New Roman"/>
            <w:color w:val="1155CC"/>
            <w:sz w:val="20"/>
            <w:szCs w:val="20"/>
            <w:u w:val="single"/>
          </w:rPr>
          <w:t>https://www.forbes.com.mx/el-papel-transformador-de-las-fintech-en-la-inclusion-financiera/#:~:text=La%20convergencia%20de%20la%20inclusi%C3%B3n%20financiera%20y%20la,personas%20m%C3%A1s%20marginadas%20una%20entrada%20al%20sistema%20financiero</w:t>
        </w:r>
      </w:hyperlink>
      <w:r>
        <w:rPr>
          <w:rFonts w:ascii="Times New Roman" w:eastAsia="Times New Roman" w:hAnsi="Times New Roman" w:cs="Times New Roman"/>
          <w:sz w:val="20"/>
          <w:szCs w:val="20"/>
        </w:rPr>
        <w:t>.</w:t>
      </w:r>
    </w:p>
  </w:footnote>
  <w:footnote w:id="62">
    <w:p w14:paraId="1CE63A7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Banco Interamericano de Desarrollo (BID). (2020). </w:t>
      </w:r>
      <w:r>
        <w:rPr>
          <w:rFonts w:ascii="Times New Roman" w:eastAsia="Times New Roman" w:hAnsi="Times New Roman" w:cs="Times New Roman"/>
          <w:i/>
          <w:sz w:val="20"/>
          <w:szCs w:val="20"/>
        </w:rPr>
        <w:t>Fintech en América Latina y el Caribe: un ecosistema consolidado para la recuperación</w:t>
      </w:r>
      <w:r>
        <w:rPr>
          <w:rFonts w:ascii="Times New Roman" w:eastAsia="Times New Roman" w:hAnsi="Times New Roman" w:cs="Times New Roman"/>
          <w:sz w:val="20"/>
          <w:szCs w:val="20"/>
        </w:rPr>
        <w:t xml:space="preserve">. Recuperado de: </w:t>
      </w:r>
      <w:hyperlink r:id="rId43">
        <w:r>
          <w:rPr>
            <w:rFonts w:ascii="Times New Roman" w:eastAsia="Times New Roman" w:hAnsi="Times New Roman" w:cs="Times New Roman"/>
            <w:color w:val="1155CC"/>
            <w:sz w:val="20"/>
            <w:szCs w:val="20"/>
            <w:u w:val="single"/>
          </w:rPr>
          <w:t>https://publications.iadb.org/es/fintech-en-america-latina-y-el-caribe-un-ecosistema-consolidado-para-la-recuperacion</w:t>
        </w:r>
      </w:hyperlink>
      <w:r>
        <w:rPr>
          <w:rFonts w:ascii="Times New Roman" w:eastAsia="Times New Roman" w:hAnsi="Times New Roman" w:cs="Times New Roman"/>
          <w:sz w:val="20"/>
          <w:szCs w:val="20"/>
        </w:rPr>
        <w:t xml:space="preserve"> </w:t>
      </w:r>
    </w:p>
  </w:footnote>
  <w:footnote w:id="63">
    <w:p w14:paraId="1CE63A7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4">
    <w:p w14:paraId="1CE63A7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Cardona, A. (2024). </w:t>
      </w:r>
      <w:r>
        <w:rPr>
          <w:rFonts w:ascii="Times New Roman" w:eastAsia="Times New Roman" w:hAnsi="Times New Roman" w:cs="Times New Roman"/>
          <w:i/>
          <w:sz w:val="20"/>
          <w:szCs w:val="20"/>
        </w:rPr>
        <w:t>Más allá de Rappi y Platzi: Conozca cuatro startups que prometen mayor impacto para Colombia y América Latina</w:t>
      </w:r>
      <w:r>
        <w:rPr>
          <w:rFonts w:ascii="Times New Roman" w:eastAsia="Times New Roman" w:hAnsi="Times New Roman" w:cs="Times New Roman"/>
          <w:sz w:val="20"/>
          <w:szCs w:val="20"/>
        </w:rPr>
        <w:t xml:space="preserve">. Valora Analitik. Recuperado de: </w:t>
      </w:r>
      <w:hyperlink r:id="rId44">
        <w:r>
          <w:rPr>
            <w:rFonts w:ascii="Times New Roman" w:eastAsia="Times New Roman" w:hAnsi="Times New Roman" w:cs="Times New Roman"/>
            <w:color w:val="1155CC"/>
            <w:sz w:val="20"/>
            <w:szCs w:val="20"/>
            <w:u w:val="single"/>
          </w:rPr>
          <w:t>https://www.valoraanalitik.com/capital-summit-nuevas-startups-colombia-america-latina/</w:t>
        </w:r>
      </w:hyperlink>
      <w:r>
        <w:rPr>
          <w:rFonts w:ascii="Times New Roman" w:eastAsia="Times New Roman" w:hAnsi="Times New Roman" w:cs="Times New Roman"/>
          <w:sz w:val="20"/>
          <w:szCs w:val="20"/>
        </w:rPr>
        <w:t xml:space="preserve"> </w:t>
      </w:r>
    </w:p>
  </w:footnote>
  <w:footnote w:id="65">
    <w:p w14:paraId="1CE63A77"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6">
    <w:p w14:paraId="1CE63A7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Saavedra, L. (2024). </w:t>
      </w:r>
      <w:r>
        <w:rPr>
          <w:rFonts w:ascii="Times New Roman" w:eastAsia="Times New Roman" w:hAnsi="Times New Roman" w:cs="Times New Roman"/>
          <w:i/>
          <w:sz w:val="20"/>
          <w:szCs w:val="20"/>
        </w:rPr>
        <w:t>¿Cuáles son sus innovaciones? Conoce a las 10 startups finalistas de StartCo 2024</w:t>
      </w:r>
      <w:r>
        <w:rPr>
          <w:rFonts w:ascii="Times New Roman" w:eastAsia="Times New Roman" w:hAnsi="Times New Roman" w:cs="Times New Roman"/>
          <w:sz w:val="20"/>
          <w:szCs w:val="20"/>
        </w:rPr>
        <w:t>. Startups Latam. Recuperado de:</w:t>
      </w:r>
      <w:hyperlink r:id="rId45">
        <w:r>
          <w:rPr>
            <w:rFonts w:ascii="Times New Roman" w:eastAsia="Times New Roman" w:hAnsi="Times New Roman" w:cs="Times New Roman"/>
            <w:color w:val="1155CC"/>
            <w:sz w:val="20"/>
            <w:szCs w:val="20"/>
            <w:u w:val="single"/>
          </w:rPr>
          <w:t>https://startupslatam.com/cuales-son-sus-innovaciones-conoce-a-las-10-startups-finalistas-de-startco-2024/</w:t>
        </w:r>
      </w:hyperlink>
      <w:r>
        <w:rPr>
          <w:rFonts w:ascii="Times New Roman" w:eastAsia="Times New Roman" w:hAnsi="Times New Roman" w:cs="Times New Roman"/>
          <w:sz w:val="20"/>
          <w:szCs w:val="20"/>
        </w:rPr>
        <w:t xml:space="preserve">  </w:t>
      </w:r>
    </w:p>
  </w:footnote>
  <w:footnote w:id="67">
    <w:p w14:paraId="1CE63A7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8">
    <w:p w14:paraId="1CE63A7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9">
    <w:p w14:paraId="1CE63A7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Martínez, P. (2024). </w:t>
      </w:r>
      <w:r>
        <w:rPr>
          <w:rFonts w:ascii="Times New Roman" w:eastAsia="Times New Roman" w:hAnsi="Times New Roman" w:cs="Times New Roman"/>
          <w:i/>
          <w:sz w:val="20"/>
          <w:szCs w:val="20"/>
        </w:rPr>
        <w:t>Innovaciones en Startups de IA: Impulsando el Desarrollo Tecnológico</w:t>
      </w:r>
      <w:r>
        <w:rPr>
          <w:rFonts w:ascii="Times New Roman" w:eastAsia="Times New Roman" w:hAnsi="Times New Roman" w:cs="Times New Roman"/>
          <w:sz w:val="20"/>
          <w:szCs w:val="20"/>
        </w:rPr>
        <w:t xml:space="preserve">. Powerplan. Recuperado de: </w:t>
      </w:r>
      <w:hyperlink r:id="rId46">
        <w:r>
          <w:rPr>
            <w:rFonts w:ascii="Times New Roman" w:eastAsia="Times New Roman" w:hAnsi="Times New Roman" w:cs="Times New Roman"/>
            <w:color w:val="1155CC"/>
            <w:sz w:val="20"/>
            <w:szCs w:val="20"/>
            <w:u w:val="single"/>
          </w:rPr>
          <w:t>https://docs.google.com/document/d/1QoSvhQNNhHQJpEOR_o-sh9vPaKnbDXwI/edit</w:t>
        </w:r>
      </w:hyperlink>
      <w:r>
        <w:rPr>
          <w:rFonts w:ascii="Times New Roman" w:eastAsia="Times New Roman" w:hAnsi="Times New Roman" w:cs="Times New Roman"/>
          <w:sz w:val="20"/>
          <w:szCs w:val="20"/>
        </w:rPr>
        <w:t xml:space="preserve"> </w:t>
      </w:r>
    </w:p>
  </w:footnote>
  <w:footnote w:id="70">
    <w:p w14:paraId="1CE63A7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1">
    <w:p w14:paraId="1CE63A7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Joint Venture Silicon Valley. (2024). </w:t>
      </w:r>
      <w:r>
        <w:rPr>
          <w:rFonts w:ascii="Times New Roman" w:eastAsia="Times New Roman" w:hAnsi="Times New Roman" w:cs="Times New Roman"/>
          <w:i/>
          <w:sz w:val="20"/>
          <w:szCs w:val="20"/>
        </w:rPr>
        <w:t>Silicon Valley venture capital investment statistics 2024</w:t>
      </w:r>
      <w:r>
        <w:rPr>
          <w:rFonts w:ascii="Times New Roman" w:eastAsia="Times New Roman" w:hAnsi="Times New Roman" w:cs="Times New Roman"/>
          <w:sz w:val="20"/>
          <w:szCs w:val="20"/>
        </w:rPr>
        <w:t xml:space="preserve">. Recuperado de: </w:t>
      </w:r>
      <w:hyperlink r:id="rId47">
        <w:r>
          <w:rPr>
            <w:rFonts w:ascii="Times New Roman" w:eastAsia="Times New Roman" w:hAnsi="Times New Roman" w:cs="Times New Roman"/>
            <w:color w:val="1155CC"/>
            <w:sz w:val="20"/>
            <w:szCs w:val="20"/>
            <w:u w:val="single"/>
          </w:rPr>
          <w:t>https://jointventure.org/download-the-2024-index</w:t>
        </w:r>
      </w:hyperlink>
      <w:r>
        <w:rPr>
          <w:rFonts w:ascii="Times New Roman" w:eastAsia="Times New Roman" w:hAnsi="Times New Roman" w:cs="Times New Roman"/>
          <w:sz w:val="20"/>
          <w:szCs w:val="20"/>
        </w:rPr>
        <w:t xml:space="preserve"> </w:t>
      </w:r>
    </w:p>
  </w:footnote>
  <w:footnote w:id="72">
    <w:p w14:paraId="1CE63A7E" w14:textId="77777777" w:rsidR="004D0443" w:rsidRDefault="00DA3067">
      <w:pPr>
        <w:rPr>
          <w:sz w:val="20"/>
          <w:szCs w:val="20"/>
        </w:rPr>
      </w:pPr>
      <w:r>
        <w:rPr>
          <w:vertAlign w:val="superscript"/>
        </w:rPr>
        <w:footnoteRef/>
      </w:r>
      <w:r>
        <w:rPr>
          <w:sz w:val="20"/>
          <w:szCs w:val="20"/>
        </w:rPr>
        <w:t xml:space="preserve"> Ibídem. </w:t>
      </w:r>
    </w:p>
  </w:footnote>
  <w:footnote w:id="73">
    <w:p w14:paraId="1CE63A7F"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4">
    <w:p w14:paraId="1CE63A8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London Loves Tech. (2022). </w:t>
      </w:r>
      <w:r>
        <w:rPr>
          <w:rFonts w:ascii="Times New Roman" w:eastAsia="Times New Roman" w:hAnsi="Times New Roman" w:cs="Times New Roman"/>
          <w:i/>
          <w:sz w:val="20"/>
          <w:szCs w:val="20"/>
        </w:rPr>
        <w:t>London ranks as world leading startup hub</w:t>
      </w:r>
      <w:r>
        <w:rPr>
          <w:rFonts w:ascii="Times New Roman" w:eastAsia="Times New Roman" w:hAnsi="Times New Roman" w:cs="Times New Roman"/>
          <w:sz w:val="20"/>
          <w:szCs w:val="20"/>
        </w:rPr>
        <w:t xml:space="preserve">. Recuperado de: </w:t>
      </w:r>
      <w:hyperlink r:id="rId48" w:anchor="google_vignette">
        <w:r>
          <w:rPr>
            <w:rFonts w:ascii="Times New Roman" w:eastAsia="Times New Roman" w:hAnsi="Times New Roman" w:cs="Times New Roman"/>
            <w:color w:val="1155CC"/>
            <w:sz w:val="20"/>
            <w:szCs w:val="20"/>
            <w:u w:val="single"/>
          </w:rPr>
          <w:t>https://londonlovestech.com/london-ranks-as-world-leading-startup-hub/#google_vignette</w:t>
        </w:r>
      </w:hyperlink>
      <w:r>
        <w:rPr>
          <w:rFonts w:ascii="Times New Roman" w:eastAsia="Times New Roman" w:hAnsi="Times New Roman" w:cs="Times New Roman"/>
          <w:sz w:val="20"/>
          <w:szCs w:val="20"/>
        </w:rPr>
        <w:t xml:space="preserve"> </w:t>
      </w:r>
    </w:p>
  </w:footnote>
  <w:footnote w:id="75">
    <w:p w14:paraId="1CE63A8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22"/>
          <w:szCs w:val="22"/>
        </w:rPr>
        <w:t>London &amp; Partners</w:t>
      </w:r>
      <w:r>
        <w:rPr>
          <w:rFonts w:ascii="Times New Roman" w:eastAsia="Times New Roman" w:hAnsi="Times New Roman" w:cs="Times New Roman"/>
          <w:sz w:val="20"/>
          <w:szCs w:val="20"/>
        </w:rPr>
        <w:t xml:space="preserve">. (2022). </w:t>
      </w:r>
      <w:r>
        <w:rPr>
          <w:rFonts w:ascii="Times New Roman" w:eastAsia="Times New Roman" w:hAnsi="Times New Roman" w:cs="Times New Roman"/>
          <w:i/>
          <w:sz w:val="20"/>
          <w:szCs w:val="20"/>
        </w:rPr>
        <w:t xml:space="preserve">London retains its crown as a world leading startup hub. </w:t>
      </w:r>
      <w:hyperlink r:id="rId49">
        <w:r>
          <w:rPr>
            <w:rFonts w:ascii="Times New Roman" w:eastAsia="Times New Roman" w:hAnsi="Times New Roman" w:cs="Times New Roman"/>
            <w:i/>
            <w:color w:val="1155CC"/>
            <w:sz w:val="20"/>
            <w:szCs w:val="20"/>
            <w:u w:val="single"/>
          </w:rPr>
          <w:t>London retains its crown as a world leading startup hub (londonandpartners.com)</w:t>
        </w:r>
      </w:hyperlink>
    </w:p>
  </w:footnote>
  <w:footnote w:id="76">
    <w:p w14:paraId="1CE63A82" w14:textId="77777777" w:rsidR="004D0443" w:rsidRDefault="00DA3067">
      <w:pPr>
        <w:jc w:val="both"/>
        <w:rPr>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w:t>
      </w:r>
      <w:r>
        <w:rPr>
          <w:rFonts w:ascii="Times New Roman" w:eastAsia="Times New Roman" w:hAnsi="Times New Roman" w:cs="Times New Roman"/>
          <w:i/>
          <w:sz w:val="20"/>
          <w:szCs w:val="20"/>
        </w:rPr>
        <w:t xml:space="preserve"> Crecimiento económico ODS 8 - Desarrollo Sostenible. </w:t>
      </w:r>
      <w:r>
        <w:rPr>
          <w:rFonts w:ascii="Times New Roman" w:eastAsia="Times New Roman" w:hAnsi="Times New Roman" w:cs="Times New Roman"/>
          <w:sz w:val="20"/>
          <w:szCs w:val="20"/>
        </w:rPr>
        <w:t xml:space="preserve">Desarrollo Sostenible. Recuperado de: </w:t>
      </w:r>
      <w:hyperlink r:id="rId50">
        <w:r>
          <w:rPr>
            <w:rFonts w:ascii="Times New Roman" w:eastAsia="Times New Roman" w:hAnsi="Times New Roman" w:cs="Times New Roman"/>
            <w:color w:val="1155CC"/>
            <w:sz w:val="20"/>
            <w:szCs w:val="20"/>
            <w:u w:val="single"/>
          </w:rPr>
          <w:t>https://www.un.org/sustainabledevelopment/es/economic-growth/</w:t>
        </w:r>
      </w:hyperlink>
      <w:r>
        <w:rPr>
          <w:sz w:val="20"/>
          <w:szCs w:val="20"/>
        </w:rPr>
        <w:t xml:space="preserve"> </w:t>
      </w:r>
    </w:p>
  </w:footnote>
  <w:footnote w:id="77">
    <w:p w14:paraId="1CE63A8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Infraestructura ODS 9 - Desarrollo Sostenible. Desarrollo Sostenible. Recuperado de: </w:t>
      </w:r>
      <w:hyperlink r:id="rId51">
        <w:r>
          <w:rPr>
            <w:rFonts w:ascii="Times New Roman" w:eastAsia="Times New Roman" w:hAnsi="Times New Roman" w:cs="Times New Roman"/>
            <w:color w:val="1155CC"/>
            <w:sz w:val="20"/>
            <w:szCs w:val="20"/>
            <w:u w:val="single"/>
          </w:rPr>
          <w:t>https://www.un.org/sustainabledevelopment/es/infrastructure/</w:t>
        </w:r>
      </w:hyperlink>
      <w:r>
        <w:rPr>
          <w:rFonts w:ascii="Times New Roman" w:eastAsia="Times New Roman" w:hAnsi="Times New Roman" w:cs="Times New Roman"/>
          <w:sz w:val="20"/>
          <w:szCs w:val="20"/>
        </w:rPr>
        <w:t xml:space="preserve"> </w:t>
      </w:r>
    </w:p>
  </w:footnote>
  <w:footnote w:id="78">
    <w:p w14:paraId="1CE63A8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Ciudades ODS 11 - Desarrollo Sostenible. Desarrollo Sostenible.Recuperado de:  </w:t>
      </w:r>
      <w:hyperlink r:id="rId52">
        <w:r>
          <w:rPr>
            <w:rFonts w:ascii="Times New Roman" w:eastAsia="Times New Roman" w:hAnsi="Times New Roman" w:cs="Times New Roman"/>
            <w:color w:val="1155CC"/>
            <w:sz w:val="20"/>
            <w:szCs w:val="20"/>
            <w:u w:val="single"/>
          </w:rPr>
          <w:t>https://www.un.org/sustainabledevelopment/es/cities/</w:t>
        </w:r>
      </w:hyperlink>
      <w:r>
        <w:rPr>
          <w:rFonts w:ascii="Times New Roman" w:eastAsia="Times New Roman" w:hAnsi="Times New Roman" w:cs="Times New Roman"/>
          <w:sz w:val="20"/>
          <w:szCs w:val="20"/>
        </w:rPr>
        <w:t xml:space="preserve"> </w:t>
      </w:r>
    </w:p>
  </w:footnote>
  <w:footnote w:id="79">
    <w:p w14:paraId="1CE63A8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Alianzas ODS 17 - Desarrollo Sostenible. Desarrollo Sostenible. Recuperado de: </w:t>
      </w:r>
      <w:hyperlink r:id="rId53">
        <w:r>
          <w:rPr>
            <w:rFonts w:ascii="Times New Roman" w:eastAsia="Times New Roman" w:hAnsi="Times New Roman" w:cs="Times New Roman"/>
            <w:color w:val="1155CC"/>
            <w:sz w:val="20"/>
            <w:szCs w:val="20"/>
            <w:u w:val="single"/>
          </w:rPr>
          <w:t>https://www.un.org/sustainabledevelopment/es/globalpartnerships/</w:t>
        </w:r>
      </w:hyperlink>
      <w:r>
        <w:rPr>
          <w:rFonts w:ascii="Times New Roman" w:eastAsia="Times New Roman" w:hAnsi="Times New Roman" w:cs="Times New Roman"/>
          <w:sz w:val="20"/>
          <w:szCs w:val="20"/>
        </w:rPr>
        <w:t xml:space="preserve"> </w:t>
      </w:r>
    </w:p>
  </w:footnote>
  <w:footnote w:id="80">
    <w:p w14:paraId="1CE63A8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Concejo de Bogotá, D.C. (2024). </w:t>
      </w:r>
      <w:r>
        <w:rPr>
          <w:rFonts w:ascii="Times New Roman" w:eastAsia="Times New Roman" w:hAnsi="Times New Roman" w:cs="Times New Roman"/>
          <w:i/>
          <w:sz w:val="20"/>
          <w:szCs w:val="20"/>
        </w:rPr>
        <w:t>Acuerdo 927 de 2024</w:t>
      </w:r>
      <w:r>
        <w:rPr>
          <w:rFonts w:ascii="Times New Roman" w:eastAsia="Times New Roman" w:hAnsi="Times New Roman" w:cs="Times New Roman"/>
          <w:sz w:val="20"/>
          <w:szCs w:val="20"/>
        </w:rPr>
        <w:t xml:space="preserve">. Plan Distrital de Desarrollo. Recuperado de: </w:t>
      </w:r>
      <w:hyperlink r:id="rId54">
        <w:r>
          <w:rPr>
            <w:rFonts w:ascii="Times New Roman" w:eastAsia="Times New Roman" w:hAnsi="Times New Roman" w:cs="Times New Roman"/>
            <w:color w:val="1155CC"/>
            <w:sz w:val="20"/>
            <w:szCs w:val="20"/>
            <w:u w:val="single"/>
          </w:rPr>
          <w:t>Acuerdo 927 de 2024 Concejo de Bogotá, D.C. (alcaldiabogota.gov.co)</w:t>
        </w:r>
      </w:hyperlink>
    </w:p>
  </w:footnote>
  <w:footnote w:id="81">
    <w:p w14:paraId="1CE63A8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Departamento Nacional de Planeación. (2024).  </w:t>
      </w:r>
      <w:r>
        <w:rPr>
          <w:rFonts w:ascii="Times New Roman" w:eastAsia="Times New Roman" w:hAnsi="Times New Roman" w:cs="Times New Roman"/>
          <w:i/>
          <w:sz w:val="20"/>
          <w:szCs w:val="20"/>
        </w:rPr>
        <w:t xml:space="preserve">Metas del Plan Nacional de Desarrollo 2022-2026. </w:t>
      </w:r>
      <w:r>
        <w:rPr>
          <w:rFonts w:ascii="Times New Roman" w:eastAsia="Times New Roman" w:hAnsi="Times New Roman" w:cs="Times New Roman"/>
          <w:sz w:val="20"/>
          <w:szCs w:val="20"/>
        </w:rPr>
        <w:t xml:space="preserve">Plataforma Colombiana de Derechos Humanos, Democracia y Desarrollo. Tomado de: </w:t>
      </w:r>
      <w:hyperlink r:id="rId55">
        <w:r>
          <w:rPr>
            <w:rFonts w:ascii="Times New Roman" w:eastAsia="Times New Roman" w:hAnsi="Times New Roman" w:cs="Times New Roman"/>
            <w:color w:val="1155CC"/>
            <w:sz w:val="20"/>
            <w:szCs w:val="20"/>
            <w:u w:val="single"/>
          </w:rPr>
          <w:t>https://ddhhcolombia.org.co/2023/05/24/metas-plan-nacional-de-desarrollo-2022-2026/</w:t>
        </w:r>
      </w:hyperlink>
      <w:r>
        <w:rPr>
          <w:rFonts w:ascii="Times New Roman" w:eastAsia="Times New Roman" w:hAnsi="Times New Roman" w:cs="Times New Roman"/>
          <w:sz w:val="20"/>
          <w:szCs w:val="20"/>
        </w:rPr>
        <w:t xml:space="preserve"> </w:t>
      </w:r>
    </w:p>
  </w:footnote>
  <w:footnote w:id="82">
    <w:p w14:paraId="1CE63A8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Agronet (2021). </w:t>
      </w:r>
      <w:r>
        <w:rPr>
          <w:rFonts w:ascii="Times New Roman" w:eastAsia="Times New Roman" w:hAnsi="Times New Roman" w:cs="Times New Roman"/>
          <w:i/>
          <w:sz w:val="20"/>
          <w:szCs w:val="20"/>
        </w:rPr>
        <w:t xml:space="preserve">Top20 startups del sector Agrotech a tener en cuenta en 2021. </w:t>
      </w:r>
      <w:r>
        <w:rPr>
          <w:rFonts w:ascii="Times New Roman" w:eastAsia="Times New Roman" w:hAnsi="Times New Roman" w:cs="Times New Roman"/>
          <w:sz w:val="20"/>
          <w:szCs w:val="20"/>
        </w:rPr>
        <w:t>UPRA Minagricultura</w:t>
      </w:r>
      <w:r>
        <w:rPr>
          <w:rFonts w:ascii="Times New Roman" w:eastAsia="Times New Roman" w:hAnsi="Times New Roman" w:cs="Times New Roman"/>
          <w:i/>
          <w:sz w:val="20"/>
          <w:szCs w:val="20"/>
        </w:rPr>
        <w:t xml:space="preserve">. </w:t>
      </w:r>
      <w:r>
        <w:rPr>
          <w:rFonts w:ascii="Times New Roman" w:eastAsia="Times New Roman" w:hAnsi="Times New Roman" w:cs="Times New Roman"/>
          <w:sz w:val="20"/>
          <w:szCs w:val="20"/>
        </w:rPr>
        <w:t xml:space="preserve">Tomado de: </w:t>
      </w:r>
      <w:hyperlink r:id="rId56">
        <w:r>
          <w:rPr>
            <w:rFonts w:ascii="Times New Roman" w:eastAsia="Times New Roman" w:hAnsi="Times New Roman" w:cs="Times New Roman"/>
            <w:color w:val="1155CC"/>
            <w:sz w:val="20"/>
            <w:szCs w:val="20"/>
            <w:u w:val="single"/>
          </w:rPr>
          <w:t>https://www.agronet.gov.co/Noticias/Paginas/Top20-startups-del-sector-Agrotech-a-tener-en-cuenta-en-2021.aspx</w:t>
        </w:r>
      </w:hyperlink>
      <w:r>
        <w:rPr>
          <w:rFonts w:ascii="Times New Roman" w:eastAsia="Times New Roman" w:hAnsi="Times New Roman" w:cs="Times New Roman"/>
          <w:sz w:val="20"/>
          <w:szCs w:val="20"/>
        </w:rPr>
        <w:t xml:space="preserve"> </w:t>
      </w:r>
    </w:p>
  </w:footnote>
  <w:footnote w:id="83">
    <w:p w14:paraId="1CE63A8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El Espectador (2022). Suyo: formalizando hogares para construir una Colombia mejor. </w:t>
      </w:r>
      <w:r>
        <w:rPr>
          <w:rFonts w:ascii="Times New Roman" w:eastAsia="Times New Roman" w:hAnsi="Times New Roman" w:cs="Times New Roman"/>
          <w:i/>
          <w:sz w:val="20"/>
          <w:szCs w:val="20"/>
        </w:rPr>
        <w:t xml:space="preserve">Redacciones Especiales. </w:t>
      </w:r>
      <w:r>
        <w:rPr>
          <w:rFonts w:ascii="Times New Roman" w:eastAsia="Times New Roman" w:hAnsi="Times New Roman" w:cs="Times New Roman"/>
          <w:sz w:val="20"/>
          <w:szCs w:val="20"/>
        </w:rPr>
        <w:t xml:space="preserve">Tomado de: </w:t>
      </w:r>
      <w:hyperlink r:id="rId57">
        <w:r>
          <w:rPr>
            <w:rFonts w:ascii="Times New Roman" w:eastAsia="Times New Roman" w:hAnsi="Times New Roman" w:cs="Times New Roman"/>
            <w:color w:val="1155CC"/>
            <w:sz w:val="20"/>
            <w:szCs w:val="20"/>
            <w:u w:val="single"/>
          </w:rPr>
          <w:t>https://www.elespectador.com/contenido-patrocinado/suyo-formalizando-hogares-para-construir-una-colombia-mejor/</w:t>
        </w:r>
      </w:hyperlink>
      <w:r>
        <w:rPr>
          <w:rFonts w:ascii="Times New Roman" w:eastAsia="Times New Roman" w:hAnsi="Times New Roman" w:cs="Times New Roman"/>
          <w:sz w:val="20"/>
          <w:szCs w:val="20"/>
        </w:rPr>
        <w:t xml:space="preserve"> </w:t>
      </w:r>
    </w:p>
  </w:footnote>
  <w:footnote w:id="84">
    <w:p w14:paraId="1CE63A8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Forbes Staff (2021). Las 10 startups de impacto escogidas para Rockstart Impact. Tomado de: </w:t>
      </w:r>
      <w:hyperlink r:id="rId58">
        <w:r>
          <w:rPr>
            <w:rFonts w:ascii="Times New Roman" w:eastAsia="Times New Roman" w:hAnsi="Times New Roman" w:cs="Times New Roman"/>
            <w:color w:val="1155CC"/>
            <w:sz w:val="20"/>
            <w:szCs w:val="20"/>
            <w:u w:val="single"/>
          </w:rPr>
          <w:t>https://forbes.co/2021/01/18/actualidad/las-10-startups-de-impacto-escogidas-para-rockstart-impact</w:t>
        </w:r>
      </w:hyperlink>
      <w:r>
        <w:rPr>
          <w:rFonts w:ascii="Times New Roman" w:eastAsia="Times New Roman" w:hAnsi="Times New Roman" w:cs="Times New Roman"/>
          <w:sz w:val="20"/>
          <w:szCs w:val="20"/>
        </w:rPr>
        <w:t xml:space="preserve"> </w:t>
      </w:r>
    </w:p>
  </w:footnote>
  <w:footnote w:id="85">
    <w:p w14:paraId="1CE63A8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Village Capital (2021).</w:t>
      </w:r>
      <w:r>
        <w:rPr>
          <w:rFonts w:ascii="Times New Roman" w:eastAsia="Times New Roman" w:hAnsi="Times New Roman" w:cs="Times New Roman"/>
          <w:i/>
          <w:sz w:val="20"/>
          <w:szCs w:val="20"/>
        </w:rPr>
        <w:t xml:space="preserve"> 10 startups creando soluciones sustentables en la Región Andina.</w:t>
      </w:r>
      <w:r>
        <w:rPr>
          <w:rFonts w:ascii="Times New Roman" w:eastAsia="Times New Roman" w:hAnsi="Times New Roman" w:cs="Times New Roman"/>
          <w:sz w:val="20"/>
          <w:szCs w:val="20"/>
        </w:rPr>
        <w:t xml:space="preserve"> Tomado de:  </w:t>
      </w:r>
      <w:hyperlink r:id="rId59">
        <w:r>
          <w:rPr>
            <w:rFonts w:ascii="Times New Roman" w:eastAsia="Times New Roman" w:hAnsi="Times New Roman" w:cs="Times New Roman"/>
            <w:color w:val="1155CC"/>
            <w:sz w:val="20"/>
            <w:szCs w:val="20"/>
            <w:u w:val="single"/>
          </w:rPr>
          <w:t>https://newsandviews.vilcap.com/posts/startups/sheltertech/region/andina</w:t>
        </w:r>
      </w:hyperlink>
      <w:r>
        <w:rPr>
          <w:rFonts w:ascii="Times New Roman" w:eastAsia="Times New Roman" w:hAnsi="Times New Roman" w:cs="Times New Roman"/>
          <w:sz w:val="20"/>
          <w:szCs w:val="20"/>
        </w:rPr>
        <w:t xml:space="preserve"> </w:t>
      </w:r>
    </w:p>
  </w:footnote>
  <w:footnote w:id="86">
    <w:p w14:paraId="1CE63A8C"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Asamblea General de las Naciones Unidas. (1966). </w:t>
      </w:r>
      <w:r>
        <w:rPr>
          <w:rFonts w:ascii="Times New Roman" w:eastAsia="Times New Roman" w:hAnsi="Times New Roman" w:cs="Times New Roman"/>
          <w:i/>
          <w:sz w:val="18"/>
          <w:szCs w:val="18"/>
        </w:rPr>
        <w:t>Pacto Internacional de Derechos Económicos, Sociales y Culturales</w:t>
      </w:r>
      <w:r>
        <w:rPr>
          <w:rFonts w:ascii="Times New Roman" w:eastAsia="Times New Roman" w:hAnsi="Times New Roman" w:cs="Times New Roman"/>
          <w:sz w:val="18"/>
          <w:szCs w:val="18"/>
        </w:rPr>
        <w:t xml:space="preserve">. Recuperado de: </w:t>
      </w:r>
      <w:hyperlink r:id="rId60">
        <w:r>
          <w:rPr>
            <w:rFonts w:ascii="Times New Roman" w:eastAsia="Times New Roman" w:hAnsi="Times New Roman" w:cs="Times New Roman"/>
            <w:color w:val="1155CC"/>
            <w:sz w:val="18"/>
            <w:szCs w:val="18"/>
            <w:u w:val="single"/>
          </w:rPr>
          <w:t>https://www.ohchr.org/es/instruments-mechanisms/instruments/international-covenant-economic-social-and-cultural-rights</w:t>
        </w:r>
      </w:hyperlink>
      <w:r>
        <w:rPr>
          <w:rFonts w:ascii="Times New Roman" w:eastAsia="Times New Roman" w:hAnsi="Times New Roman" w:cs="Times New Roman"/>
          <w:sz w:val="18"/>
          <w:szCs w:val="18"/>
        </w:rPr>
        <w:t xml:space="preserve"> </w:t>
      </w:r>
    </w:p>
  </w:footnote>
  <w:footnote w:id="87">
    <w:p w14:paraId="1CE63A8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88">
    <w:p w14:paraId="1CE63A8E" w14:textId="77777777" w:rsidR="004D0443" w:rsidRDefault="00DA3067">
      <w:pPr>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Asamblea de la Organización de Estados Americanos (OEA). (1969). Convención Americana sobre Derechos Humanos. Pacto de San José. Recuperada de: </w:t>
      </w:r>
      <w:hyperlink r:id="rId61">
        <w:r>
          <w:rPr>
            <w:rFonts w:ascii="Times New Roman" w:eastAsia="Times New Roman" w:hAnsi="Times New Roman" w:cs="Times New Roman"/>
            <w:color w:val="1155CC"/>
            <w:sz w:val="18"/>
            <w:szCs w:val="18"/>
            <w:u w:val="single"/>
          </w:rPr>
          <w:t>https://www.oas.org/dil/esp/1969_Convenci%C3%B3n_Americana_sobre_Derechos_Humanos.pdf</w:t>
        </w:r>
      </w:hyperlink>
      <w:r>
        <w:rPr>
          <w:rFonts w:ascii="Times New Roman" w:eastAsia="Times New Roman" w:hAnsi="Times New Roman" w:cs="Times New Roman"/>
          <w:sz w:val="18"/>
          <w:szCs w:val="18"/>
        </w:rPr>
        <w:t xml:space="preserve"> </w:t>
      </w:r>
    </w:p>
  </w:footnote>
  <w:footnote w:id="89">
    <w:p w14:paraId="1CE63A8F"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Asamblea Nacional Constituyente. (1991). </w:t>
      </w:r>
      <w:r>
        <w:rPr>
          <w:rFonts w:ascii="Times New Roman" w:eastAsia="Times New Roman" w:hAnsi="Times New Roman" w:cs="Times New Roman"/>
          <w:i/>
          <w:sz w:val="18"/>
          <w:szCs w:val="18"/>
        </w:rPr>
        <w:t>Constitución Política de Colombia. Artículo 333</w:t>
      </w:r>
      <w:r>
        <w:rPr>
          <w:rFonts w:ascii="Times New Roman" w:eastAsia="Times New Roman" w:hAnsi="Times New Roman" w:cs="Times New Roman"/>
          <w:sz w:val="18"/>
          <w:szCs w:val="18"/>
        </w:rPr>
        <w:t>. Bogotá, Colombia: Editorial Legis.</w:t>
      </w:r>
    </w:p>
  </w:footnote>
  <w:footnote w:id="90">
    <w:p w14:paraId="1CE63A90"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Ibídem.</w:t>
      </w:r>
    </w:p>
  </w:footnote>
  <w:footnote w:id="91">
    <w:p w14:paraId="1CE63A9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92">
    <w:p w14:paraId="1CE63A92"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(10 de julio de 2000). Ley 590 de 2000. Por la cual se dictan disposiciones para promover el desarrollo de las micro, pequeñas y medianas empresa. D.O. 44078. </w:t>
      </w:r>
    </w:p>
  </w:footnote>
  <w:footnote w:id="93">
    <w:p w14:paraId="1CE63A93"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(26 de enero de 2006). Ley 1014 de 2006. De fomento a la cultura del emprendimiento. Recuperado de: </w:t>
      </w:r>
      <w:hyperlink r:id="rId62">
        <w:r>
          <w:rPr>
            <w:rFonts w:ascii="Times New Roman" w:eastAsia="Times New Roman" w:hAnsi="Times New Roman" w:cs="Times New Roman"/>
            <w:color w:val="1155CC"/>
            <w:sz w:val="18"/>
            <w:szCs w:val="18"/>
            <w:u w:val="single"/>
          </w:rPr>
          <w:t>https://www.suin-juriscol.gov.co/viewDocument.asp?ruta=Leyes/1672727</w:t>
        </w:r>
      </w:hyperlink>
      <w:r>
        <w:rPr>
          <w:rFonts w:ascii="Times New Roman" w:eastAsia="Times New Roman" w:hAnsi="Times New Roman" w:cs="Times New Roman"/>
          <w:sz w:val="18"/>
          <w:szCs w:val="18"/>
        </w:rPr>
        <w:t xml:space="preserve"> </w:t>
      </w:r>
    </w:p>
  </w:footnote>
  <w:footnote w:id="94">
    <w:p w14:paraId="1CE63A94"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(31 de diciembre de 2020). Ley 2069 de 2020. Por medio de la cual se impulsa el emprendimiento en Colombia. Recuperado de: </w:t>
      </w:r>
      <w:hyperlink r:id="rId63">
        <w:r>
          <w:rPr>
            <w:rFonts w:ascii="Times New Roman" w:eastAsia="Times New Roman" w:hAnsi="Times New Roman" w:cs="Times New Roman"/>
            <w:color w:val="1155CC"/>
            <w:sz w:val="18"/>
            <w:szCs w:val="18"/>
            <w:u w:val="single"/>
          </w:rPr>
          <w:t>https://www.funcionpublica.gov.co/eva/gestornormativo/norma.php?i=160966</w:t>
        </w:r>
      </w:hyperlink>
      <w:r>
        <w:rPr>
          <w:rFonts w:ascii="Times New Roman" w:eastAsia="Times New Roman" w:hAnsi="Times New Roman" w:cs="Times New Roman"/>
          <w:sz w:val="18"/>
          <w:szCs w:val="18"/>
        </w:rPr>
        <w:t xml:space="preserve"> </w:t>
      </w:r>
    </w:p>
  </w:footnote>
  <w:footnote w:id="95">
    <w:p w14:paraId="1CE63A9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Presidencia de la República. (2020). </w:t>
      </w:r>
      <w:r>
        <w:rPr>
          <w:rFonts w:ascii="Times New Roman" w:eastAsia="Times New Roman" w:hAnsi="Times New Roman" w:cs="Times New Roman"/>
          <w:i/>
          <w:sz w:val="20"/>
          <w:szCs w:val="20"/>
        </w:rPr>
        <w:t>Decreto 1234 de 2020 (Sandbox Regulatorio)</w:t>
      </w:r>
      <w:r>
        <w:rPr>
          <w:rFonts w:ascii="Times New Roman" w:eastAsia="Times New Roman" w:hAnsi="Times New Roman" w:cs="Times New Roman"/>
          <w:sz w:val="20"/>
          <w:szCs w:val="20"/>
        </w:rPr>
        <w:t xml:space="preserve">. Recuperado de: </w:t>
      </w:r>
      <w:hyperlink r:id="rId64">
        <w:r>
          <w:rPr>
            <w:rFonts w:ascii="Times New Roman" w:eastAsia="Times New Roman" w:hAnsi="Times New Roman" w:cs="Times New Roman"/>
            <w:color w:val="1155CC"/>
            <w:sz w:val="20"/>
            <w:szCs w:val="20"/>
            <w:u w:val="single"/>
          </w:rPr>
          <w:t>https://www.suin-juriscol.gov.co/viewDocument.asp?ruta=Decretos/30039844</w:t>
        </w:r>
      </w:hyperlink>
      <w:r>
        <w:rPr>
          <w:rFonts w:ascii="Times New Roman" w:eastAsia="Times New Roman" w:hAnsi="Times New Roman" w:cs="Times New Roman"/>
          <w:sz w:val="20"/>
          <w:szCs w:val="20"/>
        </w:rPr>
        <w:t xml:space="preserve"> </w:t>
      </w:r>
    </w:p>
  </w:footnote>
  <w:footnote w:id="96">
    <w:p w14:paraId="1CE63A9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97">
    <w:p w14:paraId="1CE63A97"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(30 de agosto de 2021). </w:t>
      </w:r>
      <w:r>
        <w:rPr>
          <w:rFonts w:ascii="Times New Roman" w:eastAsia="Times New Roman" w:hAnsi="Times New Roman" w:cs="Times New Roman"/>
          <w:i/>
          <w:sz w:val="18"/>
          <w:szCs w:val="18"/>
        </w:rPr>
        <w:t>Acuerdo Distrital 819 de 2021. Por el cual se integran acciones para fomentar el emprendimiento de mujeres “EME” - empresas con manos de mujer dentro de las estrategias de la secretaría de desarrollo económico y se dictan otras disposiciones.</w:t>
      </w:r>
      <w:r>
        <w:rPr>
          <w:rFonts w:ascii="Times New Roman" w:eastAsia="Times New Roman" w:hAnsi="Times New Roman" w:cs="Times New Roman"/>
          <w:sz w:val="18"/>
          <w:szCs w:val="18"/>
        </w:rPr>
        <w:t xml:space="preserve"> Recuperado de: </w:t>
      </w:r>
      <w:hyperlink r:id="rId65">
        <w:r>
          <w:rPr>
            <w:rFonts w:ascii="Times New Roman" w:eastAsia="Times New Roman" w:hAnsi="Times New Roman" w:cs="Times New Roman"/>
            <w:color w:val="1155CC"/>
            <w:sz w:val="18"/>
            <w:szCs w:val="18"/>
            <w:u w:val="single"/>
          </w:rPr>
          <w:t>https://www.alcaldiabogota.gov.co/sisjur/normas/Norma1.jsp?dt=S&amp;i=116186</w:t>
        </w:r>
      </w:hyperlink>
      <w:r>
        <w:rPr>
          <w:rFonts w:ascii="Times New Roman" w:eastAsia="Times New Roman" w:hAnsi="Times New Roman" w:cs="Times New Roman"/>
          <w:sz w:val="18"/>
          <w:szCs w:val="18"/>
        </w:rPr>
        <w:t xml:space="preserve"> </w:t>
      </w:r>
    </w:p>
  </w:footnote>
  <w:footnote w:id="98">
    <w:p w14:paraId="1CE63A98"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(22 de noviembre de 2022). </w:t>
      </w:r>
      <w:r>
        <w:rPr>
          <w:rFonts w:ascii="Times New Roman" w:eastAsia="Times New Roman" w:hAnsi="Times New Roman" w:cs="Times New Roman"/>
          <w:i/>
          <w:sz w:val="18"/>
          <w:szCs w:val="18"/>
        </w:rPr>
        <w:t>Acuerdo Distrital 862 de 2022. Por el cual se establecen lineamientos para la creación de la Comisión Intersectorial de Apoyo al Emprendedor y Emprendedora Joven Rural Campesina de Bogotá D.C y se dictan otras disposiciones.</w:t>
      </w:r>
      <w:r>
        <w:rPr>
          <w:rFonts w:ascii="Times New Roman" w:eastAsia="Times New Roman" w:hAnsi="Times New Roman" w:cs="Times New Roman"/>
          <w:sz w:val="18"/>
          <w:szCs w:val="18"/>
        </w:rPr>
        <w:t xml:space="preserve"> Recuperado de: </w:t>
      </w:r>
      <w:hyperlink r:id="rId66">
        <w:r>
          <w:rPr>
            <w:rFonts w:ascii="Times New Roman" w:eastAsia="Times New Roman" w:hAnsi="Times New Roman" w:cs="Times New Roman"/>
            <w:color w:val="1155CC"/>
            <w:sz w:val="18"/>
            <w:szCs w:val="18"/>
            <w:u w:val="single"/>
          </w:rPr>
          <w:t>https://www.alcaldiabogota.gov.co/sisjur/normas/Norma1.jsp?i=129983</w:t>
        </w:r>
      </w:hyperlink>
      <w:r>
        <w:rPr>
          <w:rFonts w:ascii="Times New Roman" w:eastAsia="Times New Roman" w:hAnsi="Times New Roman" w:cs="Times New Roman"/>
          <w:sz w:val="18"/>
          <w:szCs w:val="18"/>
        </w:rPr>
        <w:t xml:space="preserve"> </w:t>
      </w:r>
    </w:p>
  </w:footnote>
  <w:footnote w:id="99">
    <w:p w14:paraId="1CE63A99"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(20 de septiembre de 2022).</w:t>
      </w:r>
      <w:r>
        <w:rPr>
          <w:rFonts w:ascii="Times New Roman" w:eastAsia="Times New Roman" w:hAnsi="Times New Roman" w:cs="Times New Roman"/>
          <w:i/>
          <w:sz w:val="18"/>
          <w:szCs w:val="18"/>
        </w:rPr>
        <w:t xml:space="preserve"> Acuerdo Distrital 848 de 2022. Por medio del cual se incentiva el emprendimiento en la educación básica secundaria y media en las instituciones educativas públicas de la ciudad y se dictan otras disposiciones.</w:t>
      </w:r>
      <w:r>
        <w:rPr>
          <w:rFonts w:ascii="Times New Roman" w:eastAsia="Times New Roman" w:hAnsi="Times New Roman" w:cs="Times New Roman"/>
          <w:sz w:val="18"/>
          <w:szCs w:val="18"/>
        </w:rPr>
        <w:t xml:space="preserve"> Recuperado de: </w:t>
      </w:r>
      <w:hyperlink r:id="rId67">
        <w:r>
          <w:rPr>
            <w:rFonts w:ascii="Times New Roman" w:eastAsia="Times New Roman" w:hAnsi="Times New Roman" w:cs="Times New Roman"/>
            <w:color w:val="1155CC"/>
            <w:sz w:val="18"/>
            <w:szCs w:val="18"/>
            <w:u w:val="single"/>
          </w:rPr>
          <w:t>https://www.alcaldiabogota.gov.co/sisjur/normas/Norma1.jsp?i=128339</w:t>
        </w:r>
      </w:hyperlink>
      <w:r>
        <w:rPr>
          <w:rFonts w:ascii="Times New Roman" w:eastAsia="Times New Roman" w:hAnsi="Times New Roman" w:cs="Times New Roman"/>
          <w:sz w:val="18"/>
          <w:szCs w:val="18"/>
        </w:rPr>
        <w:t xml:space="preserve"> </w:t>
      </w:r>
    </w:p>
  </w:footnote>
  <w:footnote w:id="100">
    <w:p w14:paraId="1CE63A9A"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29. (2023). </w:t>
      </w:r>
      <w:r>
        <w:rPr>
          <w:rFonts w:ascii="Times New Roman" w:eastAsia="Times New Roman" w:hAnsi="Times New Roman" w:cs="Times New Roman"/>
          <w:i/>
          <w:sz w:val="20"/>
          <w:szCs w:val="20"/>
        </w:rPr>
        <w:t>Política Pública Bogotá Territorio Inteligente 2023-2032</w:t>
      </w:r>
      <w:r>
        <w:rPr>
          <w:rFonts w:ascii="Times New Roman" w:eastAsia="Times New Roman" w:hAnsi="Times New Roman" w:cs="Times New Roman"/>
          <w:sz w:val="20"/>
          <w:szCs w:val="20"/>
        </w:rPr>
        <w:t xml:space="preserve">. Alcaldía Mayor de Bogotá D.C. Recuperado de: </w:t>
      </w:r>
      <w:hyperlink r:id="rId68" w:anchor=":~:text=el%20presente%20documento%20es%20el%20resultado">
        <w:r>
          <w:rPr>
            <w:rFonts w:ascii="Times New Roman" w:eastAsia="Times New Roman" w:hAnsi="Times New Roman" w:cs="Times New Roman"/>
            <w:color w:val="1155CC"/>
            <w:sz w:val="20"/>
            <w:szCs w:val="20"/>
            <w:u w:val="single"/>
          </w:rPr>
          <w:t>https://www.sdp.gov.co/sites/default/files/doc_conpes_29_pp_bti.pdf</w:t>
        </w:r>
      </w:hyperlink>
    </w:p>
  </w:footnote>
  <w:footnote w:id="101">
    <w:p w14:paraId="1CE63A9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33. (2023). </w:t>
      </w:r>
      <w:r>
        <w:rPr>
          <w:rFonts w:ascii="Times New Roman" w:eastAsia="Times New Roman" w:hAnsi="Times New Roman" w:cs="Times New Roman"/>
          <w:i/>
          <w:sz w:val="20"/>
          <w:szCs w:val="20"/>
        </w:rPr>
        <w:t>Política Pública de Trabajo Decente y Digno en Bogotá D.C. 2023-2038</w:t>
      </w:r>
      <w:r>
        <w:rPr>
          <w:rFonts w:ascii="Times New Roman" w:eastAsia="Times New Roman" w:hAnsi="Times New Roman" w:cs="Times New Roman"/>
          <w:sz w:val="20"/>
          <w:szCs w:val="20"/>
        </w:rPr>
        <w:t xml:space="preserve">. Alcaldía Mayor de Bogotá D.C. Recuperado de: </w:t>
      </w:r>
      <w:hyperlink r:id="rId69" w:anchor=":~:text=La%20Pol%C3%ADtica%20P%C3%BAblica%20de%20Trabajo%20Decente">
        <w:r>
          <w:rPr>
            <w:rFonts w:ascii="Times New Roman" w:eastAsia="Times New Roman" w:hAnsi="Times New Roman" w:cs="Times New Roman"/>
            <w:color w:val="1155CC"/>
            <w:sz w:val="20"/>
            <w:szCs w:val="20"/>
            <w:u w:val="single"/>
          </w:rPr>
          <w:t>https://www.sdp.gov.co/sites/default/files/decretos-conpes/doc_conpes_33_pp_tdecente.pdf</w:t>
        </w:r>
      </w:hyperlink>
    </w:p>
  </w:footnote>
  <w:footnote w:id="102">
    <w:p w14:paraId="1CE63A9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25. (2023). </w:t>
      </w:r>
      <w:r>
        <w:rPr>
          <w:rFonts w:ascii="Times New Roman" w:eastAsia="Times New Roman" w:hAnsi="Times New Roman" w:cs="Times New Roman"/>
          <w:i/>
          <w:sz w:val="20"/>
          <w:szCs w:val="20"/>
        </w:rPr>
        <w:t>Política Pública de Productividad, Competitividad y Desarrollo Socioeconómico 2011-2038</w:t>
      </w:r>
      <w:r>
        <w:rPr>
          <w:rFonts w:ascii="Times New Roman" w:eastAsia="Times New Roman" w:hAnsi="Times New Roman" w:cs="Times New Roman"/>
          <w:sz w:val="20"/>
          <w:szCs w:val="20"/>
        </w:rPr>
        <w:t xml:space="preserve">. Alcaldía Mayor de Bogotá D.C. Recuperado de: </w:t>
      </w:r>
      <w:hyperlink r:id="rId70" w:anchor=":~:text=Ahora%20bien,%20es%20importante%20destacar%20aquellos">
        <w:r>
          <w:rPr>
            <w:rFonts w:ascii="Times New Roman" w:eastAsia="Times New Roman" w:hAnsi="Times New Roman" w:cs="Times New Roman"/>
            <w:color w:val="1155CC"/>
            <w:sz w:val="20"/>
            <w:szCs w:val="20"/>
            <w:u w:val="single"/>
          </w:rPr>
          <w:t>https://www.sdp.gov.co/sites/default/files/doc_conpes_d.c._25_pp_productividad_y_competitividad_dc.pdf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1F" w14:textId="77777777" w:rsidR="004D0443" w:rsidRDefault="004D0443">
    <w:pPr>
      <w:widowControl w:val="0"/>
      <w:pBdr>
        <w:top w:val="nil"/>
        <w:left w:val="nil"/>
        <w:bottom w:val="nil"/>
        <w:right w:val="nil"/>
        <w:between w:val="nil"/>
      </w:pBdr>
      <w:spacing w:line="276" w:lineRule="auto"/>
      <w:rPr>
        <w:rFonts w:ascii="Bookman Old Style" w:eastAsia="Bookman Old Style" w:hAnsi="Bookman Old Style" w:cs="Bookman Old Style"/>
        <w:sz w:val="20"/>
        <w:szCs w:val="20"/>
      </w:rPr>
    </w:pPr>
  </w:p>
  <w:tbl>
    <w:tblPr>
      <w:tblStyle w:val="aff4"/>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4D0443" w14:paraId="1CE63A23" w14:textId="77777777">
      <w:trPr>
        <w:trHeight w:val="454"/>
      </w:trPr>
      <w:tc>
        <w:tcPr>
          <w:tcW w:w="2361" w:type="dxa"/>
          <w:vMerge w:val="restart"/>
          <w:vAlign w:val="center"/>
        </w:tcPr>
        <w:p w14:paraId="1CE63A20" w14:textId="77777777" w:rsidR="004D0443" w:rsidRDefault="00DA3067">
          <w:pPr>
            <w:jc w:val="center"/>
            <w:rPr>
              <w:sz w:val="16"/>
              <w:szCs w:val="16"/>
            </w:rPr>
          </w:pPr>
          <w:r>
            <w:rPr>
              <w:noProof/>
              <w:sz w:val="16"/>
              <w:szCs w:val="16"/>
              <w:lang w:val="es-CO"/>
            </w:rPr>
            <w:drawing>
              <wp:inline distT="0" distB="0" distL="0" distR="0" wp14:anchorId="1CE63A35" wp14:editId="1CE63A36">
                <wp:extent cx="749935" cy="883920"/>
                <wp:effectExtent l="0" t="0" r="0" b="0"/>
                <wp:docPr id="152"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
                        <a:srcRect/>
                        <a:stretch>
                          <a:fillRect/>
                        </a:stretch>
                      </pic:blipFill>
                      <pic:spPr>
                        <a:xfrm>
                          <a:off x="0" y="0"/>
                          <a:ext cx="749935" cy="883920"/>
                        </a:xfrm>
                        <a:prstGeom prst="rect">
                          <a:avLst/>
                        </a:prstGeom>
                        <a:ln/>
                      </pic:spPr>
                    </pic:pic>
                  </a:graphicData>
                </a:graphic>
              </wp:inline>
            </w:drawing>
          </w:r>
        </w:p>
      </w:tc>
      <w:tc>
        <w:tcPr>
          <w:tcW w:w="4235" w:type="dxa"/>
          <w:vAlign w:val="center"/>
        </w:tcPr>
        <w:p w14:paraId="1CE63A21" w14:textId="77777777" w:rsidR="004D0443" w:rsidRDefault="00DA3067">
          <w:pPr>
            <w:jc w:val="center"/>
            <w:rPr>
              <w:sz w:val="18"/>
              <w:szCs w:val="18"/>
            </w:rPr>
          </w:pPr>
          <w:r>
            <w:rPr>
              <w:sz w:val="18"/>
              <w:szCs w:val="18"/>
            </w:rPr>
            <w:t>PROCESO GESTIÓN NORMATIVA</w:t>
          </w:r>
        </w:p>
      </w:tc>
      <w:tc>
        <w:tcPr>
          <w:tcW w:w="2234" w:type="dxa"/>
          <w:vAlign w:val="center"/>
        </w:tcPr>
        <w:p w14:paraId="1CE63A22" w14:textId="77777777" w:rsidR="004D0443" w:rsidRDefault="00DA3067">
          <w:pPr>
            <w:rPr>
              <w:sz w:val="16"/>
              <w:szCs w:val="16"/>
            </w:rPr>
          </w:pPr>
          <w:r>
            <w:rPr>
              <w:sz w:val="16"/>
              <w:szCs w:val="16"/>
            </w:rPr>
            <w:t>CÓDIGO</w:t>
          </w:r>
          <w:r>
            <w:rPr>
              <w:color w:val="3366FF"/>
              <w:sz w:val="16"/>
              <w:szCs w:val="16"/>
            </w:rPr>
            <w:t xml:space="preserve">: </w:t>
          </w:r>
          <w:r>
            <w:rPr>
              <w:sz w:val="16"/>
              <w:szCs w:val="16"/>
            </w:rPr>
            <w:t>GNV-FO-001</w:t>
          </w:r>
        </w:p>
      </w:tc>
    </w:tr>
    <w:tr w:rsidR="004D0443" w14:paraId="1CE63A27" w14:textId="77777777">
      <w:trPr>
        <w:trHeight w:val="454"/>
      </w:trPr>
      <w:tc>
        <w:tcPr>
          <w:tcW w:w="2361" w:type="dxa"/>
          <w:vMerge/>
          <w:vAlign w:val="center"/>
        </w:tcPr>
        <w:p w14:paraId="1CE63A24" w14:textId="77777777" w:rsidR="004D0443" w:rsidRDefault="004D0443">
          <w:pPr>
            <w:widowControl w:val="0"/>
            <w:pBdr>
              <w:top w:val="nil"/>
              <w:left w:val="nil"/>
              <w:bottom w:val="nil"/>
              <w:right w:val="nil"/>
              <w:between w:val="nil"/>
            </w:pBdr>
            <w:spacing w:line="276" w:lineRule="auto"/>
            <w:rPr>
              <w:sz w:val="16"/>
              <w:szCs w:val="16"/>
            </w:rPr>
          </w:pPr>
        </w:p>
      </w:tc>
      <w:tc>
        <w:tcPr>
          <w:tcW w:w="4235" w:type="dxa"/>
          <w:vMerge w:val="restart"/>
          <w:vAlign w:val="center"/>
        </w:tcPr>
        <w:p w14:paraId="1CE63A25" w14:textId="77777777" w:rsidR="004D0443" w:rsidRDefault="00DA3067">
          <w:pPr>
            <w:jc w:val="center"/>
            <w:rPr>
              <w:sz w:val="20"/>
              <w:szCs w:val="20"/>
            </w:rPr>
          </w:pPr>
          <w:r>
            <w:rPr>
              <w:sz w:val="20"/>
              <w:szCs w:val="20"/>
            </w:rPr>
            <w:t>PRESENTACIÓN PROYECTOS DE ACUERDO</w:t>
          </w:r>
        </w:p>
      </w:tc>
      <w:tc>
        <w:tcPr>
          <w:tcW w:w="2234" w:type="dxa"/>
          <w:vAlign w:val="center"/>
        </w:tcPr>
        <w:p w14:paraId="1CE63A26" w14:textId="77777777" w:rsidR="004D0443" w:rsidRDefault="00DA3067">
          <w:pPr>
            <w:rPr>
              <w:sz w:val="16"/>
              <w:szCs w:val="16"/>
            </w:rPr>
          </w:pPr>
          <w:r>
            <w:rPr>
              <w:sz w:val="16"/>
              <w:szCs w:val="16"/>
            </w:rPr>
            <w:t>VERSIÓN:    02</w:t>
          </w:r>
        </w:p>
      </w:tc>
    </w:tr>
    <w:tr w:rsidR="004D0443" w14:paraId="1CE63A2B" w14:textId="77777777">
      <w:trPr>
        <w:trHeight w:val="454"/>
      </w:trPr>
      <w:tc>
        <w:tcPr>
          <w:tcW w:w="2361" w:type="dxa"/>
          <w:vMerge/>
          <w:vAlign w:val="center"/>
        </w:tcPr>
        <w:p w14:paraId="1CE63A28" w14:textId="77777777" w:rsidR="004D0443" w:rsidRDefault="004D0443">
          <w:pPr>
            <w:widowControl w:val="0"/>
            <w:pBdr>
              <w:top w:val="nil"/>
              <w:left w:val="nil"/>
              <w:bottom w:val="nil"/>
              <w:right w:val="nil"/>
              <w:between w:val="nil"/>
            </w:pBdr>
            <w:spacing w:line="276" w:lineRule="auto"/>
            <w:rPr>
              <w:sz w:val="16"/>
              <w:szCs w:val="16"/>
            </w:rPr>
          </w:pPr>
        </w:p>
      </w:tc>
      <w:tc>
        <w:tcPr>
          <w:tcW w:w="4235" w:type="dxa"/>
          <w:vMerge/>
          <w:vAlign w:val="center"/>
        </w:tcPr>
        <w:p w14:paraId="1CE63A29" w14:textId="77777777" w:rsidR="004D0443" w:rsidRDefault="004D0443">
          <w:pPr>
            <w:widowControl w:val="0"/>
            <w:pBdr>
              <w:top w:val="nil"/>
              <w:left w:val="nil"/>
              <w:bottom w:val="nil"/>
              <w:right w:val="nil"/>
              <w:between w:val="nil"/>
            </w:pBdr>
            <w:spacing w:line="276" w:lineRule="auto"/>
            <w:rPr>
              <w:sz w:val="16"/>
              <w:szCs w:val="16"/>
            </w:rPr>
          </w:pPr>
        </w:p>
      </w:tc>
      <w:tc>
        <w:tcPr>
          <w:tcW w:w="2234" w:type="dxa"/>
          <w:vAlign w:val="center"/>
        </w:tcPr>
        <w:p w14:paraId="1CE63A2A" w14:textId="77777777" w:rsidR="004D0443" w:rsidRDefault="00DA3067">
          <w:pPr>
            <w:rPr>
              <w:sz w:val="16"/>
              <w:szCs w:val="16"/>
            </w:rPr>
          </w:pPr>
          <w:r>
            <w:rPr>
              <w:sz w:val="16"/>
              <w:szCs w:val="16"/>
            </w:rPr>
            <w:t>FECHA: 14-Nov-2019</w:t>
          </w:r>
        </w:p>
      </w:tc>
    </w:tr>
  </w:tbl>
  <w:p w14:paraId="1CE63A2C" w14:textId="77777777" w:rsidR="004D0443" w:rsidRDefault="004D0443">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F059F5"/>
    <w:multiLevelType w:val="multilevel"/>
    <w:tmpl w:val="AD202C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B2530D6"/>
    <w:multiLevelType w:val="multilevel"/>
    <w:tmpl w:val="5BE023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6F3240F"/>
    <w:multiLevelType w:val="multilevel"/>
    <w:tmpl w:val="38A0CC2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0443"/>
    <w:rsid w:val="0009008E"/>
    <w:rsid w:val="004D0443"/>
    <w:rsid w:val="005D1EBD"/>
    <w:rsid w:val="00DA306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E637B8"/>
  <w15:docId w15:val="{7C3F68D0-CD3E-4333-9119-E4652098B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jc w:val="center"/>
      <w:outlineLvl w:val="0"/>
    </w:pPr>
    <w:rPr>
      <w:rFonts w:ascii="Times New Roman" w:eastAsia="Times New Roman" w:hAnsi="Times New Roman" w:cs="Times New Roman"/>
      <w:color w:val="000000"/>
    </w:rPr>
  </w:style>
  <w:style w:type="paragraph" w:styleId="Ttulo2">
    <w:name w:val="heading 2"/>
    <w:basedOn w:val="Normal"/>
    <w:next w:val="Normal"/>
    <w:uiPriority w:val="9"/>
    <w:semiHidden/>
    <w:unhideWhenUsed/>
    <w:qFormat/>
    <w:pPr>
      <w:keepNext/>
      <w:outlineLvl w:val="1"/>
    </w:pPr>
    <w:rPr>
      <w:rFonts w:ascii="Times New Roman" w:eastAsia="Times New Roman" w:hAnsi="Times New Roman" w:cs="Times New Roman"/>
      <w:color w:val="000000"/>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spacing w:before="240" w:after="60"/>
      <w:outlineLvl w:val="3"/>
    </w:pPr>
    <w:rPr>
      <w:rFonts w:ascii="Times New Roman" w:eastAsia="Times New Roman" w:hAnsi="Times New Roman" w:cs="Times New Roman"/>
      <w:b/>
      <w:color w:val="000000"/>
      <w:sz w:val="28"/>
      <w:szCs w:val="28"/>
    </w:rPr>
  </w:style>
  <w:style w:type="paragraph" w:styleId="Ttulo5">
    <w:name w:val="heading 5"/>
    <w:basedOn w:val="Normal"/>
    <w:next w:val="Normal"/>
    <w:uiPriority w:val="9"/>
    <w:semiHidden/>
    <w:unhideWhenUsed/>
    <w:qFormat/>
    <w:pPr>
      <w:keepNext/>
      <w:keepLines/>
      <w:spacing w:before="200"/>
      <w:outlineLvl w:val="4"/>
    </w:pPr>
    <w:rPr>
      <w:rFonts w:ascii="Cambria" w:eastAsia="Cambria" w:hAnsi="Cambria" w:cs="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d"/>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semiHidden/>
    <w:unhideWhenUsed/>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95734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57344"/>
    <w:rPr>
      <w:rFonts w:ascii="Segoe UI" w:hAnsi="Segoe UI" w:cs="Segoe UI"/>
      <w:sz w:val="18"/>
      <w:szCs w:val="18"/>
    </w:rPr>
  </w:style>
  <w:style w:type="paragraph" w:styleId="Revisin">
    <w:name w:val="Revision"/>
    <w:hidden/>
    <w:uiPriority w:val="99"/>
    <w:semiHidden/>
    <w:rsid w:val="00957344"/>
  </w:style>
  <w:style w:type="paragraph" w:styleId="Encabezado">
    <w:name w:val="header"/>
    <w:basedOn w:val="Normal"/>
    <w:link w:val="EncabezadoCar"/>
    <w:uiPriority w:val="99"/>
    <w:unhideWhenUsed/>
    <w:rsid w:val="005240A3"/>
    <w:pPr>
      <w:tabs>
        <w:tab w:val="center" w:pos="4419"/>
        <w:tab w:val="right" w:pos="8838"/>
      </w:tabs>
    </w:pPr>
  </w:style>
  <w:style w:type="character" w:customStyle="1" w:styleId="EncabezadoCar">
    <w:name w:val="Encabezado Car"/>
    <w:basedOn w:val="Fuentedeprrafopredeter"/>
    <w:link w:val="Encabezado"/>
    <w:uiPriority w:val="99"/>
    <w:rsid w:val="005240A3"/>
  </w:style>
  <w:style w:type="paragraph" w:styleId="Piedepgina">
    <w:name w:val="footer"/>
    <w:basedOn w:val="Normal"/>
    <w:link w:val="PiedepginaCar"/>
    <w:uiPriority w:val="99"/>
    <w:unhideWhenUsed/>
    <w:rsid w:val="005240A3"/>
    <w:pPr>
      <w:tabs>
        <w:tab w:val="center" w:pos="4419"/>
        <w:tab w:val="right" w:pos="8838"/>
      </w:tabs>
    </w:pPr>
  </w:style>
  <w:style w:type="character" w:customStyle="1" w:styleId="PiedepginaCar">
    <w:name w:val="Pie de página Car"/>
    <w:basedOn w:val="Fuentedeprrafopredeter"/>
    <w:link w:val="Piedepgina"/>
    <w:uiPriority w:val="99"/>
    <w:rsid w:val="005240A3"/>
  </w:style>
  <w:style w:type="table" w:customStyle="1" w:styleId="a0">
    <w:basedOn w:val="TableNormald"/>
    <w:tblPr>
      <w:tblStyleRowBandSize w:val="1"/>
      <w:tblStyleColBandSize w:val="1"/>
      <w:tblCellMar>
        <w:left w:w="70" w:type="dxa"/>
        <w:right w:w="70" w:type="dxa"/>
      </w:tblCellMar>
    </w:tblPr>
  </w:style>
  <w:style w:type="table" w:customStyle="1" w:styleId="a1">
    <w:basedOn w:val="TableNormald"/>
    <w:tblPr>
      <w:tblStyleRowBandSize w:val="1"/>
      <w:tblStyleColBandSize w:val="1"/>
      <w:tblCellMar>
        <w:left w:w="70" w:type="dxa"/>
        <w:right w:w="70" w:type="dxa"/>
      </w:tblCellMar>
    </w:tblPr>
  </w:style>
  <w:style w:type="table" w:customStyle="1" w:styleId="a2">
    <w:basedOn w:val="TableNormald"/>
    <w:tblPr>
      <w:tblStyleRowBandSize w:val="1"/>
      <w:tblStyleColBandSize w:val="1"/>
      <w:tblCellMar>
        <w:top w:w="100" w:type="dxa"/>
        <w:left w:w="100" w:type="dxa"/>
        <w:bottom w:w="100" w:type="dxa"/>
        <w:right w:w="100" w:type="dxa"/>
      </w:tblCellMar>
    </w:tblPr>
  </w:style>
  <w:style w:type="table" w:customStyle="1" w:styleId="a3">
    <w:basedOn w:val="TableNormald"/>
    <w:tblPr>
      <w:tblStyleRowBandSize w:val="1"/>
      <w:tblStyleColBandSize w:val="1"/>
      <w:tblCellMar>
        <w:left w:w="70" w:type="dxa"/>
        <w:right w:w="70" w:type="dxa"/>
      </w:tblCellMar>
    </w:tblPr>
  </w:style>
  <w:style w:type="table" w:customStyle="1" w:styleId="a4">
    <w:basedOn w:val="TableNormald"/>
    <w:tblPr>
      <w:tblStyleRowBandSize w:val="1"/>
      <w:tblStyleColBandSize w:val="1"/>
      <w:tblCellMar>
        <w:left w:w="70" w:type="dxa"/>
        <w:right w:w="70" w:type="dxa"/>
      </w:tblCellMar>
    </w:tblPr>
  </w:style>
  <w:style w:type="table" w:customStyle="1" w:styleId="a5">
    <w:basedOn w:val="TableNormald"/>
    <w:tblPr>
      <w:tblStyleRowBandSize w:val="1"/>
      <w:tblStyleColBandSize w:val="1"/>
      <w:tblCellMar>
        <w:left w:w="70" w:type="dxa"/>
        <w:right w:w="70" w:type="dxa"/>
      </w:tblCellMar>
    </w:tblPr>
  </w:style>
  <w:style w:type="table" w:customStyle="1" w:styleId="a6">
    <w:basedOn w:val="TableNormald"/>
    <w:tblPr>
      <w:tblStyleRowBandSize w:val="1"/>
      <w:tblStyleColBandSize w:val="1"/>
      <w:tblCellMar>
        <w:left w:w="70" w:type="dxa"/>
        <w:right w:w="70" w:type="dxa"/>
      </w:tblCellMar>
    </w:tblPr>
  </w:style>
  <w:style w:type="table" w:customStyle="1" w:styleId="a7">
    <w:basedOn w:val="TableNormald"/>
    <w:tblPr>
      <w:tblStyleRowBandSize w:val="1"/>
      <w:tblStyleColBandSize w:val="1"/>
      <w:tblCellMar>
        <w:top w:w="100" w:type="dxa"/>
        <w:left w:w="100" w:type="dxa"/>
        <w:bottom w:w="100" w:type="dxa"/>
        <w:right w:w="100" w:type="dxa"/>
      </w:tblCellMar>
    </w:tblPr>
  </w:style>
  <w:style w:type="table" w:customStyle="1" w:styleId="a8">
    <w:basedOn w:val="TableNormald"/>
    <w:tblPr>
      <w:tblStyleRowBandSize w:val="1"/>
      <w:tblStyleColBandSize w:val="1"/>
      <w:tblCellMar>
        <w:top w:w="100" w:type="dxa"/>
        <w:left w:w="100" w:type="dxa"/>
        <w:bottom w:w="100" w:type="dxa"/>
        <w:right w:w="100" w:type="dxa"/>
      </w:tblCellMar>
    </w:tblPr>
  </w:style>
  <w:style w:type="table" w:customStyle="1" w:styleId="a9">
    <w:basedOn w:val="TableNormald"/>
    <w:tblPr>
      <w:tblStyleRowBandSize w:val="1"/>
      <w:tblStyleColBandSize w:val="1"/>
      <w:tblCellMar>
        <w:left w:w="70" w:type="dxa"/>
        <w:right w:w="70" w:type="dxa"/>
      </w:tblCellMar>
    </w:tblPr>
  </w:style>
  <w:style w:type="table" w:customStyle="1" w:styleId="aa">
    <w:basedOn w:val="TableNormal6"/>
    <w:tblPr>
      <w:tblStyleRowBandSize w:val="1"/>
      <w:tblStyleColBandSize w:val="1"/>
      <w:tblCellMar>
        <w:top w:w="100" w:type="dxa"/>
        <w:left w:w="100" w:type="dxa"/>
        <w:bottom w:w="100" w:type="dxa"/>
        <w:right w:w="100" w:type="dxa"/>
      </w:tblCellMar>
    </w:tblPr>
  </w:style>
  <w:style w:type="table" w:customStyle="1" w:styleId="ab">
    <w:basedOn w:val="TableNormal6"/>
    <w:tblPr>
      <w:tblStyleRowBandSize w:val="1"/>
      <w:tblStyleColBandSize w:val="1"/>
      <w:tblCellMar>
        <w:top w:w="100" w:type="dxa"/>
        <w:left w:w="70" w:type="dxa"/>
        <w:bottom w:w="100" w:type="dxa"/>
        <w:right w:w="70" w:type="dxa"/>
      </w:tblCellMar>
    </w:tblPr>
  </w:style>
  <w:style w:type="table" w:customStyle="1" w:styleId="ac">
    <w:basedOn w:val="TableNormal6"/>
    <w:tblPr>
      <w:tblStyleRowBandSize w:val="1"/>
      <w:tblStyleColBandSize w:val="1"/>
      <w:tblCellMar>
        <w:top w:w="100" w:type="dxa"/>
        <w:left w:w="70" w:type="dxa"/>
        <w:bottom w:w="100" w:type="dxa"/>
        <w:right w:w="70" w:type="dxa"/>
      </w:tblCellMar>
    </w:tblPr>
  </w:style>
  <w:style w:type="table" w:customStyle="1" w:styleId="ad">
    <w:basedOn w:val="TableNormal6"/>
    <w:tblPr>
      <w:tblStyleRowBandSize w:val="1"/>
      <w:tblStyleColBandSize w:val="1"/>
      <w:tblCellMar>
        <w:top w:w="100" w:type="dxa"/>
        <w:left w:w="100" w:type="dxa"/>
        <w:bottom w:w="100" w:type="dxa"/>
        <w:right w:w="100" w:type="dxa"/>
      </w:tblCellMar>
    </w:tblPr>
  </w:style>
  <w:style w:type="table" w:customStyle="1" w:styleId="ae">
    <w:basedOn w:val="TableNormal6"/>
    <w:tblPr>
      <w:tblStyleRowBandSize w:val="1"/>
      <w:tblStyleColBandSize w:val="1"/>
      <w:tblCellMar>
        <w:top w:w="100" w:type="dxa"/>
        <w:left w:w="100" w:type="dxa"/>
        <w:bottom w:w="100" w:type="dxa"/>
        <w:right w:w="100" w:type="dxa"/>
      </w:tblCellMar>
    </w:tblPr>
  </w:style>
  <w:style w:type="table" w:customStyle="1" w:styleId="af">
    <w:basedOn w:val="TableNormal6"/>
    <w:tblPr>
      <w:tblStyleRowBandSize w:val="1"/>
      <w:tblStyleColBandSize w:val="1"/>
      <w:tblCellMar>
        <w:top w:w="100" w:type="dxa"/>
        <w:left w:w="100" w:type="dxa"/>
        <w:bottom w:w="100" w:type="dxa"/>
        <w:right w:w="100" w:type="dxa"/>
      </w:tblCellMar>
    </w:tblPr>
  </w:style>
  <w:style w:type="table" w:customStyle="1" w:styleId="af0">
    <w:basedOn w:val="TableNormal6"/>
    <w:tblPr>
      <w:tblStyleRowBandSize w:val="1"/>
      <w:tblStyleColBandSize w:val="1"/>
      <w:tblCellMar>
        <w:top w:w="100" w:type="dxa"/>
        <w:left w:w="100" w:type="dxa"/>
        <w:bottom w:w="100" w:type="dxa"/>
        <w:right w:w="100" w:type="dxa"/>
      </w:tblCellMar>
    </w:tblPr>
  </w:style>
  <w:style w:type="table" w:customStyle="1" w:styleId="af1">
    <w:basedOn w:val="TableNormal6"/>
    <w:tblPr>
      <w:tblStyleRowBandSize w:val="1"/>
      <w:tblStyleColBandSize w:val="1"/>
      <w:tblCellMar>
        <w:top w:w="100" w:type="dxa"/>
        <w:left w:w="70" w:type="dxa"/>
        <w:bottom w:w="100" w:type="dxa"/>
        <w:right w:w="70" w:type="dxa"/>
      </w:tblCellMar>
    </w:tblPr>
  </w:style>
  <w:style w:type="table" w:customStyle="1" w:styleId="af2">
    <w:basedOn w:val="TableNormal6"/>
    <w:tblPr>
      <w:tblStyleRowBandSize w:val="1"/>
      <w:tblStyleColBandSize w:val="1"/>
      <w:tblCellMar>
        <w:top w:w="100" w:type="dxa"/>
        <w:left w:w="70" w:type="dxa"/>
        <w:bottom w:w="100" w:type="dxa"/>
        <w:right w:w="70" w:type="dxa"/>
      </w:tblCellMar>
    </w:tblPr>
  </w:style>
  <w:style w:type="table" w:customStyle="1" w:styleId="af3">
    <w:basedOn w:val="TableNormal6"/>
    <w:tblPr>
      <w:tblStyleRowBandSize w:val="1"/>
      <w:tblStyleColBandSize w:val="1"/>
      <w:tblCellMar>
        <w:top w:w="100" w:type="dxa"/>
        <w:left w:w="100" w:type="dxa"/>
        <w:bottom w:w="100" w:type="dxa"/>
        <w:right w:w="100" w:type="dxa"/>
      </w:tblCellMar>
    </w:tblPr>
  </w:style>
  <w:style w:type="table" w:customStyle="1" w:styleId="af4">
    <w:basedOn w:val="TableNormal6"/>
    <w:tblPr>
      <w:tblStyleRowBandSize w:val="1"/>
      <w:tblStyleColBandSize w:val="1"/>
      <w:tblCellMar>
        <w:top w:w="100" w:type="dxa"/>
        <w:left w:w="100" w:type="dxa"/>
        <w:bottom w:w="100" w:type="dxa"/>
        <w:right w:w="100" w:type="dxa"/>
      </w:tblCellMar>
    </w:tblPr>
  </w:style>
  <w:style w:type="table" w:customStyle="1" w:styleId="af5">
    <w:basedOn w:val="TableNormal6"/>
    <w:tblPr>
      <w:tblStyleRowBandSize w:val="1"/>
      <w:tblStyleColBandSize w:val="1"/>
      <w:tblCellMar>
        <w:top w:w="100" w:type="dxa"/>
        <w:left w:w="100" w:type="dxa"/>
        <w:bottom w:w="100" w:type="dxa"/>
        <w:right w:w="100" w:type="dxa"/>
      </w:tblCellMar>
    </w:tblPr>
  </w:style>
  <w:style w:type="table" w:customStyle="1" w:styleId="af6">
    <w:basedOn w:val="TableNormal6"/>
    <w:tblPr>
      <w:tblStyleRowBandSize w:val="1"/>
      <w:tblStyleColBandSize w:val="1"/>
      <w:tblCellMar>
        <w:top w:w="100" w:type="dxa"/>
        <w:left w:w="100" w:type="dxa"/>
        <w:bottom w:w="100" w:type="dxa"/>
        <w:right w:w="100" w:type="dxa"/>
      </w:tblCellMar>
    </w:tblPr>
  </w:style>
  <w:style w:type="table" w:customStyle="1" w:styleId="af7">
    <w:basedOn w:val="TableNormal6"/>
    <w:tblPr>
      <w:tblStyleRowBandSize w:val="1"/>
      <w:tblStyleColBandSize w:val="1"/>
      <w:tblCellMar>
        <w:top w:w="100" w:type="dxa"/>
        <w:left w:w="100" w:type="dxa"/>
        <w:bottom w:w="100" w:type="dxa"/>
        <w:right w:w="100" w:type="dxa"/>
      </w:tblCellMar>
    </w:tblPr>
  </w:style>
  <w:style w:type="table" w:customStyle="1" w:styleId="af8">
    <w:basedOn w:val="TableNormal6"/>
    <w:tblPr>
      <w:tblStyleRowBandSize w:val="1"/>
      <w:tblStyleColBandSize w:val="1"/>
      <w:tblCellMar>
        <w:top w:w="100" w:type="dxa"/>
        <w:left w:w="70" w:type="dxa"/>
        <w:bottom w:w="100" w:type="dxa"/>
        <w:right w:w="70" w:type="dxa"/>
      </w:tblCellMar>
    </w:tblPr>
  </w:style>
  <w:style w:type="table" w:customStyle="1" w:styleId="af9">
    <w:basedOn w:val="TableNormal6"/>
    <w:tblPr>
      <w:tblStyleRowBandSize w:val="1"/>
      <w:tblStyleColBandSize w:val="1"/>
      <w:tblCellMar>
        <w:top w:w="100" w:type="dxa"/>
        <w:left w:w="70" w:type="dxa"/>
        <w:bottom w:w="100" w:type="dxa"/>
        <w:right w:w="70" w:type="dxa"/>
      </w:tblCellMar>
    </w:tblPr>
  </w:style>
  <w:style w:type="table" w:customStyle="1" w:styleId="afa">
    <w:basedOn w:val="TableNormal6"/>
    <w:tblPr>
      <w:tblStyleRowBandSize w:val="1"/>
      <w:tblStyleColBandSize w:val="1"/>
      <w:tblCellMar>
        <w:top w:w="100" w:type="dxa"/>
        <w:left w:w="70" w:type="dxa"/>
        <w:bottom w:w="100" w:type="dxa"/>
        <w:right w:w="70" w:type="dxa"/>
      </w:tblCellMar>
    </w:tblPr>
  </w:style>
  <w:style w:type="table" w:customStyle="1" w:styleId="afb">
    <w:basedOn w:val="TableNormal6"/>
    <w:tblPr>
      <w:tblStyleRowBandSize w:val="1"/>
      <w:tblStyleColBandSize w:val="1"/>
      <w:tblCellMar>
        <w:top w:w="100" w:type="dxa"/>
        <w:left w:w="70" w:type="dxa"/>
        <w:bottom w:w="100" w:type="dxa"/>
        <w:right w:w="70" w:type="dxa"/>
      </w:tblCellMar>
    </w:tblPr>
  </w:style>
  <w:style w:type="table" w:customStyle="1" w:styleId="afc">
    <w:basedOn w:val="TableNormal6"/>
    <w:tblPr>
      <w:tblStyleRowBandSize w:val="1"/>
      <w:tblStyleColBandSize w:val="1"/>
      <w:tblCellMar>
        <w:top w:w="100" w:type="dxa"/>
        <w:left w:w="70" w:type="dxa"/>
        <w:bottom w:w="100" w:type="dxa"/>
        <w:right w:w="70" w:type="dxa"/>
      </w:tblCellMar>
    </w:tblPr>
  </w:style>
  <w:style w:type="table" w:customStyle="1" w:styleId="afd">
    <w:basedOn w:val="TableNormal6"/>
    <w:tblPr>
      <w:tblStyleRowBandSize w:val="1"/>
      <w:tblStyleColBandSize w:val="1"/>
      <w:tblCellMar>
        <w:top w:w="100" w:type="dxa"/>
        <w:left w:w="70" w:type="dxa"/>
        <w:bottom w:w="100" w:type="dxa"/>
        <w:right w:w="70" w:type="dxa"/>
      </w:tblCellMar>
    </w:tblPr>
  </w:style>
  <w:style w:type="table" w:customStyle="1" w:styleId="afe">
    <w:basedOn w:val="TableNormal6"/>
    <w:tblPr>
      <w:tblStyleRowBandSize w:val="1"/>
      <w:tblStyleColBandSize w:val="1"/>
      <w:tblCellMar>
        <w:top w:w="100" w:type="dxa"/>
        <w:left w:w="70" w:type="dxa"/>
        <w:bottom w:w="100" w:type="dxa"/>
        <w:right w:w="70" w:type="dxa"/>
      </w:tblCellMar>
    </w:tblPr>
  </w:style>
  <w:style w:type="table" w:customStyle="1" w:styleId="aff">
    <w:basedOn w:val="TableNormal0"/>
    <w:tblPr>
      <w:tblStyleRowBandSize w:val="1"/>
      <w:tblStyleColBandSize w:val="1"/>
      <w:tblCellMar>
        <w:top w:w="100" w:type="dxa"/>
        <w:left w:w="70" w:type="dxa"/>
        <w:bottom w:w="100" w:type="dxa"/>
        <w:right w:w="70" w:type="dxa"/>
      </w:tblCellMar>
    </w:tblPr>
  </w:style>
  <w:style w:type="table" w:customStyle="1" w:styleId="aff0">
    <w:basedOn w:val="TableNormal0"/>
    <w:tblPr>
      <w:tblStyleRowBandSize w:val="1"/>
      <w:tblStyleColBandSize w:val="1"/>
      <w:tblCellMar>
        <w:top w:w="100" w:type="dxa"/>
        <w:left w:w="70" w:type="dxa"/>
        <w:bottom w:w="100" w:type="dxa"/>
        <w:right w:w="70" w:type="dxa"/>
      </w:tblCellMar>
    </w:tblPr>
  </w:style>
  <w:style w:type="table" w:customStyle="1" w:styleId="aff1">
    <w:basedOn w:val="TableNormal0"/>
    <w:tblPr>
      <w:tblStyleRowBandSize w:val="1"/>
      <w:tblStyleColBandSize w:val="1"/>
      <w:tblCellMar>
        <w:top w:w="100" w:type="dxa"/>
        <w:left w:w="70" w:type="dxa"/>
        <w:bottom w:w="100" w:type="dxa"/>
        <w:right w:w="70" w:type="dxa"/>
      </w:tblCellMar>
    </w:tblPr>
  </w:style>
  <w:style w:type="table" w:customStyle="1" w:styleId="aff2">
    <w:basedOn w:val="TableNormal0"/>
    <w:tblPr>
      <w:tblStyleRowBandSize w:val="1"/>
      <w:tblStyleColBandSize w:val="1"/>
      <w:tblCellMar>
        <w:top w:w="100" w:type="dxa"/>
        <w:left w:w="70" w:type="dxa"/>
        <w:bottom w:w="100" w:type="dxa"/>
        <w:right w:w="70" w:type="dxa"/>
      </w:tblCellMar>
    </w:tblPr>
  </w:style>
  <w:style w:type="table" w:customStyle="1" w:styleId="aff3">
    <w:basedOn w:val="TableNormal0"/>
    <w:tblPr>
      <w:tblStyleRowBandSize w:val="1"/>
      <w:tblStyleColBandSize w:val="1"/>
      <w:tblCellMar>
        <w:top w:w="100" w:type="dxa"/>
        <w:left w:w="70" w:type="dxa"/>
        <w:bottom w:w="100" w:type="dxa"/>
        <w:right w:w="70" w:type="dxa"/>
      </w:tblCellMar>
    </w:tblPr>
  </w:style>
  <w:style w:type="table" w:customStyle="1" w:styleId="aff4">
    <w:basedOn w:val="TableNormal0"/>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6" Type="http://schemas.openxmlformats.org/officeDocument/2006/relationships/hyperlink" Target="https://www.openstartups.net/site/ranking-colombia/rankings-startups.html" TargetMode="External"/><Relationship Id="rId21" Type="http://schemas.openxmlformats.org/officeDocument/2006/relationships/hyperlink" Target="https://bibliotecadigital.ccb.org.co/items/9293e396-d952-46bf-8d01-43cb3ea92848" TargetMode="External"/><Relationship Id="rId42" Type="http://schemas.openxmlformats.org/officeDocument/2006/relationships/hyperlink" Target="https://www.forbes.com.mx/el-papel-transformador-de-las-fintech-en-la-inclusion-financiera/" TargetMode="External"/><Relationship Id="rId47" Type="http://schemas.openxmlformats.org/officeDocument/2006/relationships/hyperlink" Target="https://jointventure.org/download-the-2024-index" TargetMode="External"/><Relationship Id="rId63" Type="http://schemas.openxmlformats.org/officeDocument/2006/relationships/hyperlink" Target="https://www.funcionpublica.gov.co/eva/gestornormativo/norma.php?i=160966" TargetMode="External"/><Relationship Id="rId68" Type="http://schemas.openxmlformats.org/officeDocument/2006/relationships/hyperlink" Target="https://www.sdp.gov.co/sites/default/files/doc_conpes_29_pp_bti.pdf" TargetMode="External"/><Relationship Id="rId7" Type="http://schemas.openxmlformats.org/officeDocument/2006/relationships/hyperlink" Target="https://www.cbinsights.com/research-unicorn-companies" TargetMode="External"/><Relationship Id="rId2" Type="http://schemas.openxmlformats.org/officeDocument/2006/relationships/hyperlink" Target="https://bdigital.uncu.edu.ar/objetos_digitales/15764/startupslanuevamaneradehacernegocios.pdf" TargetMode="External"/><Relationship Id="rId16" Type="http://schemas.openxmlformats.org/officeDocument/2006/relationships/hyperlink" Target="https://www.gob.mx/shcp/articulos/el-sector-fintech-y-su-regulacion-en-mexico?idiom=es" TargetMode="External"/><Relationship Id="rId29" Type="http://schemas.openxmlformats.org/officeDocument/2006/relationships/hyperlink" Target="https://uniandes.edu.co/es/noticias/ingenieria/analisis-de-datos-clave-en-el-crecimiento-de-las-startups" TargetMode="External"/><Relationship Id="rId11" Type="http://schemas.openxmlformats.org/officeDocument/2006/relationships/hyperlink" Target="https://www.bloomberglinea.com/2024/01/27/los-8-cambios-que-redefinen-la-realidad-de-las-startups-globales-de-cara-a-2024/" TargetMode="External"/><Relationship Id="rId24" Type="http://schemas.openxmlformats.org/officeDocument/2006/relationships/hyperlink" Target="https://www.latamrepublic.com/the-top-3-countries-in-latin-america-for-startup-growth" TargetMode="External"/><Relationship Id="rId32" Type="http://schemas.openxmlformats.org/officeDocument/2006/relationships/hyperlink" Target="https://www.idbinvest.org/en/news-media/idb-invest-promotes-innovation-through-merqueo-investment" TargetMode="External"/><Relationship Id="rId37" Type="http://schemas.openxmlformats.org/officeDocument/2006/relationships/hyperlink" Target="https://forbes.co/2023/11/10/emprendedores/las-100-mejores-startups-de-colombia-2023" TargetMode="External"/><Relationship Id="rId40" Type="http://schemas.openxmlformats.org/officeDocument/2006/relationships/hyperlink" Target="https://www.colombiafintech.co/lineaDeTiempo/articulo/fintech-presente-y-futuro-del-mercado-financiero" TargetMode="External"/><Relationship Id="rId45" Type="http://schemas.openxmlformats.org/officeDocument/2006/relationships/hyperlink" Target="https://startupslatam.com/cuales-son-sus-innovaciones-conoce-a-las-10-startups-finalistas-de-startco-2024/" TargetMode="External"/><Relationship Id="rId53" Type="http://schemas.openxmlformats.org/officeDocument/2006/relationships/hyperlink" Target="https://www.un.org/sustainabledevelopment/es/globalpartnerships/" TargetMode="External"/><Relationship Id="rId58" Type="http://schemas.openxmlformats.org/officeDocument/2006/relationships/hyperlink" Target="https://forbes.co/2021/01/18/actualidad/las-10-startups-de-impacto-escogidas-para-rockstart-impact" TargetMode="External"/><Relationship Id="rId66" Type="http://schemas.openxmlformats.org/officeDocument/2006/relationships/hyperlink" Target="https://www.alcaldiabogota.gov.co/sisjur/normas/Norma1.jsp?i=129983" TargetMode="External"/><Relationship Id="rId5" Type="http://schemas.openxmlformats.org/officeDocument/2006/relationships/hyperlink" Target="https://www.researchgate.net/publication/359071428_Importance_of_startup_in_the_21st_Century_Economy" TargetMode="External"/><Relationship Id="rId61" Type="http://schemas.openxmlformats.org/officeDocument/2006/relationships/hyperlink" Target="https://www.oas.org/dil/esp/1969_Convenci%C3%B3n_Americana_sobre_Derechos_Humanos.pdf" TargetMode="External"/><Relationship Id="rId19" Type="http://schemas.openxmlformats.org/officeDocument/2006/relationships/hyperlink" Target="https://www.altosempresarios.com/noticias/papel-de-las-startups-en-la-economia-de-colombia" TargetMode="External"/><Relationship Id="rId14" Type="http://schemas.openxmlformats.org/officeDocument/2006/relationships/hyperlink" Target="https://www.migalhas.com.br/depeso/386501/sandbox-regulatorio-um-instrumento-estrategico" TargetMode="External"/><Relationship Id="rId22" Type="http://schemas.openxmlformats.org/officeDocument/2006/relationships/hyperlink" Target="https://bogota.gov.co/mi-ciudad/desarrollo-economico/programa-entorno-fortalecio-transformacion-digital-empresas-bogota" TargetMode="External"/><Relationship Id="rId27" Type="http://schemas.openxmlformats.org/officeDocument/2006/relationships/hyperlink" Target="https://es.investinbogota.org/noticias/scaleupbog-la-plataforma-del-ecosistema-emprendedor-de-bogota-region-toma-un-nuevo-impulso/" TargetMode="External"/><Relationship Id="rId30" Type="http://schemas.openxmlformats.org/officeDocument/2006/relationships/hyperlink" Target="https://colombiaone.com/2024/04/21/rappi-colombian-delivery-app/" TargetMode="External"/><Relationship Id="rId35" Type="http://schemas.openxmlformats.org/officeDocument/2006/relationships/hyperlink" Target="https://latamlist.com/ubits-edtech-raises-25m-series-b-for-launch-into-spain/" TargetMode="External"/><Relationship Id="rId43" Type="http://schemas.openxmlformats.org/officeDocument/2006/relationships/hyperlink" Target="https://publications.iadb.org/es/fintech-en-america-latina-y-el-caribe-un-ecosistema-consolidado-para-la-recuperacion" TargetMode="External"/><Relationship Id="rId48" Type="http://schemas.openxmlformats.org/officeDocument/2006/relationships/hyperlink" Target="https://londonlovestech.com/london-ranks-as-world-leading-startup-hub/" TargetMode="External"/><Relationship Id="rId56" Type="http://schemas.openxmlformats.org/officeDocument/2006/relationships/hyperlink" Target="https://www.agronet.gov.co/Noticias/Paginas/Top20-startups-del-sector-Agrotech-a-tener-en-cuenta-en-2021.aspx" TargetMode="External"/><Relationship Id="rId64" Type="http://schemas.openxmlformats.org/officeDocument/2006/relationships/hyperlink" Target="https://www.suin-juriscol.gov.co/viewDocument.asp?ruta=Decretos/30039844" TargetMode="External"/><Relationship Id="rId69" Type="http://schemas.openxmlformats.org/officeDocument/2006/relationships/hyperlink" Target="https://www.sdp.gov.co/sites/default/files/decretos-conpes/doc_conpes_33_pp_tdecente.pdf" TargetMode="External"/><Relationship Id="rId8" Type="http://schemas.openxmlformats.org/officeDocument/2006/relationships/hyperlink" Target="https://www.hurun.net/en-US/Info/Detail?num=3OEJNGKGFPDS" TargetMode="External"/><Relationship Id="rId51" Type="http://schemas.openxmlformats.org/officeDocument/2006/relationships/hyperlink" Target="https://www.un.org/sustainabledevelopment/es/infrastructure/" TargetMode="External"/><Relationship Id="rId3" Type="http://schemas.openxmlformats.org/officeDocument/2006/relationships/hyperlink" Target="https://www.cdti.es" TargetMode="External"/><Relationship Id="rId12" Type="http://schemas.openxmlformats.org/officeDocument/2006/relationships/hyperlink" Target="https://legislacao.presidencia.gov.br/atos/?tipo=LCP&amp;numero=182&amp;ano=2021&amp;ato=7dbMTUU5UMZpWT177" TargetMode="External"/><Relationship Id="rId17" Type="http://schemas.openxmlformats.org/officeDocument/2006/relationships/hyperlink" Target="https://www.legalparadox.com/post/qu%C3%A9-es-la-ley-fintech-y-c%C3%B3mo-est%C3%A1-transformando-a-m%C3%A9xico" TargetMode="External"/><Relationship Id="rId25" Type="http://schemas.openxmlformats.org/officeDocument/2006/relationships/hyperlink" Target="https://www.semana.com/nacion/bogota/articulo/bogota-fue-premiada-por-sus-procesos-de-desarrollo-tecnologico-en-pro-del-servicio-al-ciudadano/202447/" TargetMode="External"/><Relationship Id="rId33" Type="http://schemas.openxmlformats.org/officeDocument/2006/relationships/hyperlink" Target="https://www.idbinvest.org/en/news-media/idb-invest-promotes-innovation-through-merqueo-investment" TargetMode="External"/><Relationship Id="rId38" Type="http://schemas.openxmlformats.org/officeDocument/2006/relationships/hyperlink" Target="https://contxto.com/en/news/colombian-startup-kravata-raises-3-6-million-for-latin-american-expansion/" TargetMode="External"/><Relationship Id="rId46" Type="http://schemas.openxmlformats.org/officeDocument/2006/relationships/hyperlink" Target="https://docs.google.com/document/d/1QoSvhQNNhHQJpEOR_o-sh9vPaKnbDXwI/edit" TargetMode="External"/><Relationship Id="rId59" Type="http://schemas.openxmlformats.org/officeDocument/2006/relationships/hyperlink" Target="https://newsandviews.vilcap.com/posts/startups/sheltertech/region/andina" TargetMode="External"/><Relationship Id="rId67" Type="http://schemas.openxmlformats.org/officeDocument/2006/relationships/hyperlink" Target="https://www.alcaldiabogota.gov.co/sisjur/normas/Norma1.jsp?i=128339" TargetMode="External"/><Relationship Id="rId20" Type="http://schemas.openxmlformats.org/officeDocument/2006/relationships/hyperlink" Target="https://www.bloomberglinea.com/2022/08/08/cual-sera-el-futuro-de-las-startups-en-colombia-con-la-llegada-de-petro-al-poder/" TargetMode="External"/><Relationship Id="rId41" Type="http://schemas.openxmlformats.org/officeDocument/2006/relationships/hyperlink" Target="https://www2.deloitte.com/co/es/pages/finance/articles/la_industria_fintechenamericalatina.html" TargetMode="External"/><Relationship Id="rId54" Type="http://schemas.openxmlformats.org/officeDocument/2006/relationships/hyperlink" Target="https://www.alcaldiabogota.gov.co/sisjur/normas/Norma1.jsp?i=155699&amp;dt=S" TargetMode="External"/><Relationship Id="rId62" Type="http://schemas.openxmlformats.org/officeDocument/2006/relationships/hyperlink" Target="https://www.suin-juriscol.gov.co/viewDocument.asp?ruta=Leyes/1672727" TargetMode="External"/><Relationship Id="rId70" Type="http://schemas.openxmlformats.org/officeDocument/2006/relationships/hyperlink" Target="https://www.sdp.gov.co/sites/default/files/doc_conpes_d.c._25_pp_productividad_y_competitividad_dc.pdf" TargetMode="External"/><Relationship Id="rId1" Type="http://schemas.openxmlformats.org/officeDocument/2006/relationships/hyperlink" Target="https://accid.org/wp-content/uploads/2021/08/RCD30_Startups_cast-Startup-Concepto-y-ciclo-de-vida.pdf" TargetMode="External"/><Relationship Id="rId6" Type="http://schemas.openxmlformats.org/officeDocument/2006/relationships/hyperlink" Target="https://www.statista.com/chart/19317/highest-valued-startup-companies-in-the-world/" TargetMode="External"/><Relationship Id="rId15" Type="http://schemas.openxmlformats.org/officeDocument/2006/relationships/hyperlink" Target="https://www.bloomberglinea.com.br/2023/04/23/brasil-e-o-pais-da-america-latina-com-o-maior-numero-de-fintechs-ativas/" TargetMode="External"/><Relationship Id="rId23" Type="http://schemas.openxmlformats.org/officeDocument/2006/relationships/hyperlink" Target="https://www.latamrepublic.com/the-top-3-countries-in-latin-america-for-startup-growth" TargetMode="External"/><Relationship Id="rId28" Type="http://schemas.openxmlformats.org/officeDocument/2006/relationships/hyperlink" Target="https://scaleupbog.co/ecosistema/" TargetMode="External"/><Relationship Id="rId36" Type="http://schemas.openxmlformats.org/officeDocument/2006/relationships/hyperlink" Target="https://forbes.co/2023/11/10/emprendedores/las-100-mejores-startups-de-colombia-2023" TargetMode="External"/><Relationship Id="rId49" Type="http://schemas.openxmlformats.org/officeDocument/2006/relationships/hyperlink" Target="https://media.londonandpartners.com/news/london-retains-its-crown-as-a-world-leading-startup-hub" TargetMode="External"/><Relationship Id="rId57" Type="http://schemas.openxmlformats.org/officeDocument/2006/relationships/hyperlink" Target="https://www.elespectador.com/contenido-patrocinado/suyo-formalizando-hogares-para-construir-una-colombia-mejor/" TargetMode="External"/><Relationship Id="rId10" Type="http://schemas.openxmlformats.org/officeDocument/2006/relationships/hyperlink" Target="https://repositorio.comillas.edu/xmlui/bitstream/handle/11531/31245/TFG%20Celada%20Lopez%2C%20Daniel.pdf?sequence=1" TargetMode="External"/><Relationship Id="rId31" Type="http://schemas.openxmlformats.org/officeDocument/2006/relationships/hyperlink" Target="https://www.asilodigital.com/habi-segundo-unicornio-colombia/" TargetMode="External"/><Relationship Id="rId44" Type="http://schemas.openxmlformats.org/officeDocument/2006/relationships/hyperlink" Target="https://www.valoraanalitik.com/capital-summit-nuevas-startups-colombia-america-latina/" TargetMode="External"/><Relationship Id="rId52" Type="http://schemas.openxmlformats.org/officeDocument/2006/relationships/hyperlink" Target="https://www.un.org/sustainabledevelopment/es/cities/" TargetMode="External"/><Relationship Id="rId60" Type="http://schemas.openxmlformats.org/officeDocument/2006/relationships/hyperlink" Target="https://www.ohchr.org/es/instruments-mechanisms/instruments/international-covenant-economic-social-and-cultural-rights" TargetMode="External"/><Relationship Id="rId65" Type="http://schemas.openxmlformats.org/officeDocument/2006/relationships/hyperlink" Target="https://www.alcaldiabogota.gov.co/sisjur/normas/Norma1.jsp?dt=S&amp;i=116186" TargetMode="External"/><Relationship Id="rId4" Type="http://schemas.openxmlformats.org/officeDocument/2006/relationships/hyperlink" Target="https://www.comunidad.madrid/sites/default/files/29_dgae_ficha_practica._que_es_una_starup.pdf" TargetMode="External"/><Relationship Id="rId9" Type="http://schemas.openxmlformats.org/officeDocument/2006/relationships/hyperlink" Target="https://techeconomy.ng/breakdown-of-the-worlds-highest-valued-startups/" TargetMode="External"/><Relationship Id="rId13" Type="http://schemas.openxmlformats.org/officeDocument/2006/relationships/hyperlink" Target="https://repositorio.mctic.gov.br/bitstream/mctic/4796/3/2022_10_19_mcti_boletim_diario.pdf" TargetMode="External"/><Relationship Id="rId18" Type="http://schemas.openxmlformats.org/officeDocument/2006/relationships/hyperlink" Target="https://www.boe.es/boe/dias/2022/12/22/pdfs/BOE-A-2022-21739.pdf" TargetMode="External"/><Relationship Id="rId39" Type="http://schemas.openxmlformats.org/officeDocument/2006/relationships/hyperlink" Target="https://metricas.mx/blog/empresas-fintech-en-america-latina" TargetMode="External"/><Relationship Id="rId34" Type="http://schemas.openxmlformats.org/officeDocument/2006/relationships/hyperlink" Target="https://latamlist.com/ubits-edtech-raises-25m-series-b-for-launch-into-spain/" TargetMode="External"/><Relationship Id="rId50" Type="http://schemas.openxmlformats.org/officeDocument/2006/relationships/hyperlink" Target="https://www.un.org/sustainabledevelopment/es/economic-growth/" TargetMode="External"/><Relationship Id="rId55" Type="http://schemas.openxmlformats.org/officeDocument/2006/relationships/hyperlink" Target="https://ddhhcolombia.org.co/2023/05/24/metas-plan-nacional-de-desarrollo-2022-2026/"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8whUjh0MVDqEYABzlKG2WvzYZg==">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66</Pages>
  <Words>15900</Words>
  <Characters>87456</Characters>
  <Application>Microsoft Office Word</Application>
  <DocSecurity>0</DocSecurity>
  <Lines>728</Lines>
  <Paragraphs>206</Paragraphs>
  <ScaleCrop>false</ScaleCrop>
  <Company/>
  <LinksUpToDate>false</LinksUpToDate>
  <CharactersWithSpaces>103150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SERGIO ALEXANDER MARTINEZ LOPEZ</dc:creator>
  <cp:lastModifiedBy>CLAUDIA TERESA SUAREZ NIÑO</cp:lastModifiedBy>
  <cp:revision>3</cp:revision>
  <dcterms:created xsi:type="dcterms:W3CDTF">2024-12-11T16:28:00Z</dcterms:created>
  <dcterms:modified xsi:type="dcterms:W3CDTF">2025-03-31T22:19:00Z</dcterms:modified>
</cp:coreProperties>
</file>